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4816EC26">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F69C11B">
      <w:pPr>
        <w:pStyle w:val="2"/>
        <w:bidi w:val="0"/>
        <w:ind w:firstLine="560" w:firstLineChars="200"/>
        <w:rPr>
          <w:rFonts w:hint="eastAsia"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cs="Times New Roman"/>
          <w:sz w:val="28"/>
          <w:szCs w:val="28"/>
          <w:lang w:val="en-US" w:eastAsia="zh-CN"/>
        </w:rPr>
        <w:t>河南</w:t>
      </w:r>
      <w:r>
        <w:rPr>
          <w:rFonts w:hint="eastAsia" w:ascii="仿宋" w:hAnsi="仿宋" w:eastAsia="仿宋" w:cs="Times New Roman"/>
          <w:sz w:val="28"/>
          <w:szCs w:val="28"/>
          <w:lang w:val="en-US" w:eastAsia="zh-CN"/>
        </w:rPr>
        <w:fldChar w:fldCharType="begin"/>
      </w:r>
      <w:r>
        <w:rPr>
          <w:rFonts w:hint="eastAsia" w:ascii="仿宋" w:hAnsi="仿宋" w:eastAsia="仿宋" w:cs="Times New Roman"/>
          <w:sz w:val="28"/>
          <w:szCs w:val="28"/>
          <w:lang w:val="en-US" w:eastAsia="zh-CN"/>
        </w:rPr>
        <w:instrText xml:space="preserve"> HYPERLINK "https://map.360.cn/?pid=be2e8c3f3446e977&amp;src=onebox" \t "https://www.so.com/_blank" </w:instrText>
      </w:r>
      <w:r>
        <w:rPr>
          <w:rFonts w:hint="eastAsia" w:ascii="仿宋" w:hAnsi="仿宋" w:eastAsia="仿宋" w:cs="Times New Roman"/>
          <w:sz w:val="28"/>
          <w:szCs w:val="28"/>
          <w:lang w:val="en-US" w:eastAsia="zh-CN"/>
        </w:rPr>
        <w:fldChar w:fldCharType="separate"/>
      </w:r>
      <w:r>
        <w:rPr>
          <w:rFonts w:hint="default" w:ascii="仿宋" w:hAnsi="仿宋" w:eastAsia="仿宋" w:cs="Times New Roman"/>
          <w:sz w:val="28"/>
          <w:szCs w:val="28"/>
          <w:lang w:val="en-US" w:eastAsia="zh-CN"/>
        </w:rPr>
        <w:t>万基</w:t>
      </w:r>
      <w:r>
        <w:rPr>
          <w:rFonts w:hint="eastAsia" w:ascii="仿宋" w:hAnsi="仿宋" w:eastAsia="仿宋" w:cs="Times New Roman"/>
          <w:sz w:val="28"/>
          <w:szCs w:val="28"/>
          <w:lang w:val="en-US" w:eastAsia="zh-CN"/>
        </w:rPr>
        <w:t>铝业股份</w:t>
      </w:r>
      <w:r>
        <w:rPr>
          <w:rFonts w:hint="default" w:ascii="仿宋" w:hAnsi="仿宋" w:eastAsia="仿宋" w:cs="Times New Roman"/>
          <w:sz w:val="28"/>
          <w:szCs w:val="28"/>
          <w:lang w:val="en-US" w:eastAsia="zh-CN"/>
        </w:rPr>
        <w:t>有限公司</w:t>
      </w:r>
      <w:r>
        <w:rPr>
          <w:rFonts w:hint="default" w:ascii="仿宋" w:hAnsi="仿宋" w:eastAsia="仿宋" w:cs="Times New Roman"/>
          <w:sz w:val="28"/>
          <w:szCs w:val="28"/>
          <w:lang w:val="en-US" w:eastAsia="zh-CN"/>
        </w:rPr>
        <w:fldChar w:fldCharType="end"/>
      </w:r>
      <w:r>
        <w:rPr>
          <w:rFonts w:hint="eastAsia" w:ascii="仿宋" w:hAnsi="仿宋" w:eastAsia="仿宋" w:cs="Times New Roman"/>
          <w:sz w:val="28"/>
          <w:szCs w:val="28"/>
          <w:lang w:val="en-US" w:eastAsia="zh-CN"/>
        </w:rPr>
        <w:t>（二分厂）超低排放烟气连续检测系统采购（CEMS）项目</w:t>
      </w:r>
      <w:r>
        <w:rPr>
          <w:rFonts w:hint="eastAsia" w:ascii="仿宋" w:hAnsi="仿宋" w:eastAsia="仿宋"/>
          <w:sz w:val="28"/>
          <w:szCs w:val="28"/>
        </w:rPr>
        <w:t>进行招标【招标编号：WJWZ-(2026)02001】，有意参标单位请在202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日12时前通过电话或邮件通知招标联系人，并按招标人要求的时间缴纳投标保证金。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10</w:t>
      </w:r>
      <w:r>
        <w:rPr>
          <w:rFonts w:hint="eastAsia" w:ascii="仿宋" w:hAnsi="仿宋" w:eastAsia="仿宋"/>
          <w:b/>
          <w:color w:val="FF0000"/>
          <w:sz w:val="28"/>
          <w:szCs w:val="28"/>
        </w:rPr>
        <w:t>日下午15:00（北京时间</w:t>
      </w:r>
      <w:r>
        <w:rPr>
          <w:rFonts w:hint="eastAsia" w:ascii="仿宋" w:hAnsi="仿宋" w:eastAsia="仿宋"/>
          <w:color w:val="FF0000"/>
          <w:sz w:val="28"/>
          <w:szCs w:val="28"/>
        </w:rPr>
        <w:t>）</w:t>
      </w:r>
    </w:p>
    <w:p w14:paraId="22FAA19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hint="eastAsia"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2</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10</w:t>
      </w:r>
      <w:r>
        <w:rPr>
          <w:rFonts w:hint="eastAsia" w:ascii="仿宋" w:hAnsi="仿宋" w:eastAsia="仿宋" w:cs="仿宋_GB2312"/>
          <w:b/>
          <w:color w:val="FF0000"/>
          <w:sz w:val="28"/>
          <w:szCs w:val="28"/>
        </w:rPr>
        <w:t>日上午12:00时</w:t>
      </w:r>
    </w:p>
    <w:p w14:paraId="1BF68E7B">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技术：</w:t>
      </w:r>
      <w:r>
        <w:rPr>
          <w:rFonts w:hint="eastAsia" w:ascii="仿宋" w:hAnsi="仿宋" w:eastAsia="仿宋"/>
          <w:sz w:val="28"/>
          <w:szCs w:val="28"/>
          <w:lang w:val="en-US" w:eastAsia="zh-CN"/>
        </w:rPr>
        <w:t>朱晓亮</w:t>
      </w:r>
      <w:r>
        <w:rPr>
          <w:rFonts w:hint="eastAsia" w:ascii="仿宋" w:hAnsi="仿宋" w:eastAsia="仿宋"/>
          <w:sz w:val="28"/>
          <w:szCs w:val="28"/>
        </w:rPr>
        <w:t xml:space="preserve">  </w:t>
      </w:r>
      <w:r>
        <w:rPr>
          <w:rFonts w:ascii="仿宋" w:hAnsi="仿宋" w:eastAsia="仿宋"/>
          <w:sz w:val="28"/>
          <w:szCs w:val="28"/>
        </w:rPr>
        <w:t>13</w:t>
      </w:r>
      <w:r>
        <w:rPr>
          <w:rFonts w:hint="eastAsia" w:ascii="仿宋" w:hAnsi="仿宋" w:eastAsia="仿宋"/>
          <w:sz w:val="28"/>
          <w:szCs w:val="28"/>
          <w:lang w:val="en-US" w:eastAsia="zh-CN"/>
        </w:rPr>
        <w:t>5</w:t>
      </w:r>
      <w:r>
        <w:rPr>
          <w:rFonts w:hint="eastAsia" w:ascii="仿宋" w:hAnsi="仿宋" w:eastAsia="仿宋"/>
          <w:sz w:val="28"/>
          <w:szCs w:val="28"/>
        </w:rPr>
        <w:t xml:space="preserve"> </w:t>
      </w:r>
      <w:r>
        <w:rPr>
          <w:rFonts w:hint="eastAsia" w:ascii="仿宋" w:hAnsi="仿宋" w:eastAsia="仿宋"/>
          <w:sz w:val="28"/>
          <w:szCs w:val="28"/>
          <w:lang w:val="en-US" w:eastAsia="zh-CN"/>
        </w:rPr>
        <w:t>2595</w:t>
      </w:r>
      <w:r>
        <w:rPr>
          <w:rFonts w:hint="eastAsia" w:ascii="仿宋" w:hAnsi="仿宋" w:eastAsia="仿宋"/>
          <w:sz w:val="28"/>
          <w:szCs w:val="28"/>
        </w:rPr>
        <w:t xml:space="preserve"> </w:t>
      </w:r>
      <w:r>
        <w:rPr>
          <w:rFonts w:hint="eastAsia" w:ascii="仿宋" w:hAnsi="仿宋" w:eastAsia="仿宋"/>
          <w:sz w:val="28"/>
          <w:szCs w:val="28"/>
          <w:lang w:val="en-US" w:eastAsia="zh-CN"/>
        </w:rPr>
        <w:t>1095</w:t>
      </w:r>
    </w:p>
    <w:p w14:paraId="05B7CD20">
      <w:pPr>
        <w:spacing w:line="460" w:lineRule="exact"/>
        <w:rPr>
          <w:rFonts w:hint="eastAsia"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r>
        <w:rPr>
          <w:rFonts w:ascii="仿宋" w:hAnsi="仿宋" w:eastAsia="仿宋"/>
          <w:b/>
          <w:color w:val="FF0000"/>
          <w:sz w:val="28"/>
          <w:szCs w:val="28"/>
        </w:rPr>
        <w:t>本次招标设置包干拦标价</w:t>
      </w:r>
      <w:r>
        <w:rPr>
          <w:rFonts w:hint="eastAsia" w:ascii="仿宋" w:hAnsi="仿宋" w:eastAsia="仿宋"/>
          <w:b/>
          <w:color w:val="FF0000"/>
          <w:sz w:val="28"/>
          <w:szCs w:val="28"/>
        </w:rPr>
        <w:t>：100万元。</w:t>
      </w:r>
      <w:r>
        <w:rPr>
          <w:rFonts w:ascii="仿宋" w:hAnsi="仿宋" w:eastAsia="仿宋"/>
          <w:color w:val="000000"/>
          <w:sz w:val="28"/>
          <w:szCs w:val="28"/>
        </w:rPr>
        <w:t>各投标单位报价不得高于拦标价，高于拦标价的报价视为无效报价，不予评标。</w:t>
      </w:r>
    </w:p>
    <w:p w14:paraId="2E47AB1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做入投标文件商务卷；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hint="eastAsia"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12FD0609">
      <w:pPr>
        <w:spacing w:line="460" w:lineRule="exact"/>
        <w:ind w:left="412" w:firstLine="14" w:firstLineChars="5"/>
        <w:rPr>
          <w:rFonts w:hint="eastAsia" w:ascii="仿宋" w:hAnsi="仿宋" w:eastAsia="仿宋" w:cs="Times New Roman"/>
          <w:sz w:val="28"/>
          <w:szCs w:val="28"/>
          <w:lang w:val="en-US" w:eastAsia="zh-CN"/>
        </w:rPr>
      </w:pPr>
      <w:r>
        <w:rPr>
          <w:rFonts w:ascii="仿宋" w:hAnsi="仿宋" w:eastAsia="仿宋" w:cs="Times New Roman"/>
          <w:sz w:val="28"/>
          <w:szCs w:val="28"/>
        </w:rPr>
        <w:t>1</w:t>
      </w:r>
      <w:r>
        <w:rPr>
          <w:rFonts w:hint="eastAsia" w:ascii="仿宋" w:hAnsi="仿宋" w:eastAsia="仿宋" w:cs="Times New Roman"/>
          <w:sz w:val="28"/>
          <w:szCs w:val="28"/>
        </w:rPr>
        <w:t>）</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具有独立订立合同的权利和履行合同的能力，依法取得营业执照，营业执照处于有效期，营业执照、税务登记证、组织机构代码证三证齐全。为增值税一般纳税人，在近三年参加的其他采购活动中，没有违法记录。</w:t>
      </w:r>
    </w:p>
    <w:p w14:paraId="7A60D652">
      <w:pPr>
        <w:spacing w:line="460" w:lineRule="exact"/>
        <w:ind w:firstLine="480" w:firstLineChars="200"/>
        <w:jc w:val="left"/>
        <w:rPr>
          <w:rFonts w:hint="eastAsia" w:ascii="仿宋" w:hAnsi="仿宋" w:eastAsia="仿宋" w:cs="Times New Roman"/>
          <w:color w:val="000000"/>
          <w:spacing w:val="-20"/>
          <w:sz w:val="28"/>
          <w:szCs w:val="28"/>
        </w:rPr>
      </w:pPr>
      <w:r>
        <w:rPr>
          <w:rFonts w:hint="eastAsia" w:ascii="仿宋" w:hAnsi="仿宋" w:eastAsia="仿宋" w:cs="Times New Roman"/>
          <w:color w:val="000000"/>
          <w:spacing w:val="-20"/>
          <w:sz w:val="28"/>
          <w:szCs w:val="28"/>
        </w:rPr>
        <w:t>2</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设备厂家具有质量管理体系认证证书，职业健康安全管理体系认证证书，环境管理体系认证证书均在有效期内。</w:t>
      </w:r>
    </w:p>
    <w:p w14:paraId="505A4010">
      <w:pPr>
        <w:spacing w:line="460" w:lineRule="exact"/>
        <w:ind w:firstLine="480" w:firstLineChars="200"/>
        <w:jc w:val="left"/>
        <w:rPr>
          <w:rFonts w:hint="eastAsia" w:ascii="仿宋" w:hAnsi="仿宋" w:eastAsia="仿宋" w:cs="Times New Roman"/>
          <w:color w:val="000000"/>
          <w:spacing w:val="-20"/>
          <w:sz w:val="28"/>
          <w:szCs w:val="28"/>
        </w:rPr>
      </w:pPr>
      <w:r>
        <w:rPr>
          <w:rFonts w:hint="eastAsia" w:ascii="仿宋" w:hAnsi="仿宋" w:eastAsia="仿宋" w:cs="Times New Roman"/>
          <w:color w:val="000000"/>
          <w:spacing w:val="-20"/>
          <w:sz w:val="28"/>
          <w:szCs w:val="28"/>
        </w:rPr>
        <w:t>3</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设备厂家需提供 CEMS 系统的环保认证证书CCEP,  国家环境保护总局环境监测仪器质量监督检验中心出具的适用性检验合格报告均在有效期内。</w:t>
      </w:r>
    </w:p>
    <w:p w14:paraId="7BD2FAB8">
      <w:pPr>
        <w:spacing w:line="460" w:lineRule="exact"/>
        <w:ind w:firstLine="480" w:firstLineChars="200"/>
        <w:jc w:val="left"/>
        <w:rPr>
          <w:rFonts w:hint="eastAsia" w:ascii="仿宋" w:hAnsi="仿宋" w:eastAsia="仿宋" w:cs="Times New Roman"/>
          <w:color w:val="000000"/>
          <w:spacing w:val="-20"/>
          <w:sz w:val="28"/>
          <w:szCs w:val="28"/>
        </w:rPr>
      </w:pPr>
      <w:r>
        <w:rPr>
          <w:rFonts w:hint="eastAsia" w:ascii="仿宋" w:hAnsi="仿宋" w:eastAsia="仿宋" w:cs="Times New Roman"/>
          <w:color w:val="000000"/>
          <w:spacing w:val="-20"/>
          <w:sz w:val="28"/>
          <w:szCs w:val="28"/>
        </w:rPr>
        <w:t>4</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设备厂家具有自主知识产权(提供证明),能够承担设备的 维修、维护服务。服务人员具有行业颁发的从业证书。</w:t>
      </w:r>
    </w:p>
    <w:p w14:paraId="2C3ACF93">
      <w:pPr>
        <w:spacing w:line="460" w:lineRule="exact"/>
        <w:ind w:firstLine="480" w:firstLineChars="200"/>
        <w:jc w:val="left"/>
        <w:rPr>
          <w:rFonts w:hint="eastAsia" w:ascii="仿宋" w:hAnsi="仿宋" w:eastAsia="仿宋" w:cs="Times New Roman"/>
          <w:color w:val="000000"/>
          <w:spacing w:val="-20"/>
          <w:sz w:val="28"/>
          <w:szCs w:val="28"/>
        </w:rPr>
      </w:pPr>
      <w:r>
        <w:rPr>
          <w:rFonts w:hint="eastAsia" w:ascii="仿宋" w:hAnsi="仿宋" w:eastAsia="仿宋" w:cs="Times New Roman"/>
          <w:color w:val="000000"/>
          <w:spacing w:val="-20"/>
          <w:sz w:val="28"/>
          <w:szCs w:val="28"/>
        </w:rPr>
        <w:t>5</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所提供的烟气在线监测系统应有型式批准证书CPA、环保证书 CCEP(必需满足HJ/75-2017 最新要求、须完全满足2026年1月1日实施的HJ212-2025《 污染物自动监测监控系统数据传输要求》)、必须是通过国家环保部环境监测仪器质量监督检验中心适用性检测合格报告，并在有效期内。</w:t>
      </w:r>
    </w:p>
    <w:p w14:paraId="1FC523F9">
      <w:pPr>
        <w:spacing w:line="460" w:lineRule="exact"/>
        <w:ind w:firstLine="480" w:firstLineChars="200"/>
        <w:jc w:val="left"/>
        <w:rPr>
          <w:rFonts w:hint="eastAsia" w:ascii="仿宋" w:hAnsi="仿宋" w:eastAsia="仿宋" w:cs="仿宋"/>
          <w:bCs/>
          <w:sz w:val="28"/>
          <w:szCs w:val="28"/>
        </w:rPr>
      </w:pPr>
      <w:r>
        <w:rPr>
          <w:rFonts w:hint="eastAsia" w:ascii="仿宋" w:hAnsi="仿宋" w:eastAsia="仿宋" w:cs="Times New Roman"/>
          <w:color w:val="000000"/>
          <w:spacing w:val="-20"/>
          <w:sz w:val="28"/>
          <w:szCs w:val="28"/>
        </w:rPr>
        <w:t>6</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投标方提供的设备(分析系统品牌：</w:t>
      </w:r>
      <w:r>
        <w:rPr>
          <w:rFonts w:hint="eastAsia" w:ascii="仿宋" w:hAnsi="仿宋" w:eastAsia="仿宋" w:cs="Times New Roman"/>
          <w:color w:val="000000"/>
          <w:spacing w:val="-20"/>
          <w:sz w:val="28"/>
          <w:szCs w:val="28"/>
          <w:lang w:val="en-US" w:eastAsia="zh-CN"/>
        </w:rPr>
        <w:t>安荣信、雪迪龙、聚光、SICK</w:t>
      </w:r>
      <w:r>
        <w:rPr>
          <w:rFonts w:hint="eastAsia" w:ascii="仿宋" w:hAnsi="仿宋" w:eastAsia="仿宋" w:cs="Times New Roman"/>
          <w:color w:val="000000"/>
          <w:spacing w:val="-20"/>
          <w:sz w:val="28"/>
          <w:szCs w:val="28"/>
        </w:rPr>
        <w:t>)是全新的和先进的，并经过至少</w:t>
      </w:r>
      <w:r>
        <w:rPr>
          <w:rFonts w:hint="eastAsia" w:ascii="仿宋" w:hAnsi="仿宋" w:eastAsia="仿宋" w:cs="Times New Roman"/>
          <w:color w:val="000000"/>
          <w:spacing w:val="-20"/>
          <w:sz w:val="28"/>
          <w:szCs w:val="28"/>
          <w:lang w:val="en-US" w:eastAsia="zh-CN"/>
        </w:rPr>
        <w:t>5</w:t>
      </w:r>
      <w:r>
        <w:rPr>
          <w:rFonts w:hint="eastAsia" w:ascii="仿宋" w:hAnsi="仿宋" w:eastAsia="仿宋" w:cs="Times New Roman"/>
          <w:color w:val="000000"/>
          <w:spacing w:val="-20"/>
          <w:sz w:val="28"/>
          <w:szCs w:val="28"/>
        </w:rPr>
        <w:t>套行业同类型CEMS 系统运行</w:t>
      </w:r>
      <w:r>
        <w:rPr>
          <w:rFonts w:hint="eastAsia" w:ascii="仿宋" w:hAnsi="仿宋" w:eastAsia="仿宋" w:cs="Times New Roman"/>
          <w:color w:val="000000"/>
          <w:spacing w:val="-20"/>
          <w:sz w:val="28"/>
          <w:szCs w:val="28"/>
          <w:lang w:eastAsia="zh-CN"/>
        </w:rPr>
        <w:t>。</w:t>
      </w:r>
      <w:r>
        <w:rPr>
          <w:rFonts w:hint="eastAsia" w:ascii="仿宋" w:hAnsi="仿宋" w:eastAsia="仿宋" w:cs="Times New Roman"/>
          <w:color w:val="000000"/>
          <w:spacing w:val="-20"/>
          <w:sz w:val="28"/>
          <w:szCs w:val="28"/>
        </w:rPr>
        <w:t>2年以上成功运行并实践，证明是完全成熟可靠的产品</w:t>
      </w:r>
      <w:r>
        <w:rPr>
          <w:rFonts w:hint="eastAsia" w:ascii="仿宋" w:hAnsi="仿宋" w:eastAsia="仿宋" w:cs="仿宋"/>
          <w:bCs/>
          <w:sz w:val="28"/>
          <w:szCs w:val="28"/>
        </w:rPr>
        <w:t>；</w:t>
      </w:r>
    </w:p>
    <w:p w14:paraId="2BE7F4D2">
      <w:pPr>
        <w:spacing w:line="460" w:lineRule="exact"/>
        <w:ind w:firstLine="480" w:firstLineChars="200"/>
        <w:jc w:val="left"/>
        <w:rPr>
          <w:rFonts w:hint="eastAsia" w:ascii="仿宋" w:hAnsi="仿宋" w:eastAsia="仿宋" w:cs="Times New Roman"/>
          <w:color w:val="000000"/>
          <w:spacing w:val="-20"/>
          <w:sz w:val="28"/>
          <w:szCs w:val="28"/>
        </w:rPr>
      </w:pPr>
      <w:r>
        <w:rPr>
          <w:rFonts w:hint="eastAsia" w:ascii="仿宋" w:hAnsi="仿宋" w:eastAsia="仿宋" w:cs="Times New Roman"/>
          <w:color w:val="000000"/>
          <w:spacing w:val="-20"/>
          <w:sz w:val="28"/>
          <w:szCs w:val="28"/>
          <w:lang w:val="en-US" w:eastAsia="zh-CN"/>
        </w:rPr>
        <w:t>7）、设备应具有以下证书：国家环境保护产品认证证书（按照HJ76-2017规范取得认证、提供证书），国家环境保护部环境监测仪器质量监督检验中心出具的产品实用性监测报告（按照HJ76-2017规范检测，提供检测报告），仪器的名称、型号必须与上述证书相吻合。</w:t>
      </w:r>
    </w:p>
    <w:p w14:paraId="01394198">
      <w:pPr>
        <w:spacing w:line="460" w:lineRule="exact"/>
        <w:ind w:firstLine="560" w:firstLineChars="200"/>
        <w:jc w:val="left"/>
        <w:rPr>
          <w:rFonts w:hint="eastAsia"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hint="eastAsia"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 xml:space="preserve">作资质预审；资质预审截止时间： </w:t>
      </w:r>
      <w:r>
        <w:rPr>
          <w:rFonts w:hint="eastAsia" w:ascii="仿宋" w:hAnsi="仿宋" w:eastAsia="仿宋" w:cs="仿宋"/>
          <w:spacing w:val="-20"/>
          <w:sz w:val="28"/>
          <w:szCs w:val="28"/>
          <w:lang w:val="en-US" w:eastAsia="zh-CN"/>
        </w:rPr>
        <w:t>2</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10</w:t>
      </w:r>
      <w:r>
        <w:rPr>
          <w:rFonts w:hint="eastAsia" w:ascii="仿宋" w:hAnsi="仿宋" w:eastAsia="仿宋" w:cs="仿宋"/>
          <w:spacing w:val="-20"/>
          <w:sz w:val="28"/>
          <w:szCs w:val="28"/>
        </w:rPr>
        <w:t>日中午12时前</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hint="eastAsia"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62" w:beforeLines="20" w:after="62" w:afterLines="20" w:line="460" w:lineRule="exact"/>
        <w:ind w:firstLine="560" w:firstLineChars="200"/>
        <w:rPr>
          <w:rFonts w:hint="eastAsia"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投标保证金：各投标人在开标前须向业主单位财务缴纳投标保证金人民币壹万元（￥1000</w:t>
      </w:r>
      <w:r>
        <w:rPr>
          <w:rFonts w:ascii="仿宋" w:hAnsi="仿宋" w:eastAsia="仿宋" w:cs="仿宋"/>
          <w:spacing w:val="-20"/>
          <w:sz w:val="28"/>
          <w:szCs w:val="28"/>
        </w:rPr>
        <w:t>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hint="eastAsia"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、评标办法：各投标单位在都能满足招标文件及技术要求需求的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hint="eastAsia"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、供货范围：详见技术要求（附件7）；</w:t>
      </w:r>
    </w:p>
    <w:p w14:paraId="2DF6ECF4">
      <w:pPr>
        <w:spacing w:line="460" w:lineRule="exact"/>
        <w:ind w:firstLine="560" w:firstLineChars="200"/>
        <w:rPr>
          <w:rFonts w:hint="eastAsia"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质量、环境、职业健康等保证体系及其他质量认证证明；</w:t>
      </w:r>
    </w:p>
    <w:p w14:paraId="17F4FB7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VI. 近三年财务状况、信用评价及其它文件和资料。</w:t>
      </w:r>
    </w:p>
    <w:p w14:paraId="33B8C4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6）分项详细报价（依照技术要求列出分项报价）等；</w:t>
      </w:r>
    </w:p>
    <w:p w14:paraId="031C7D0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hint="eastAsia"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hint="eastAsia"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三</w:t>
      </w:r>
      <w:r>
        <w:rPr>
          <w:rFonts w:hint="eastAsia" w:ascii="仿宋" w:hAnsi="仿宋" w:eastAsia="仿宋"/>
          <w:sz w:val="28"/>
          <w:szCs w:val="28"/>
        </w:rPr>
        <w:t>份，正本一份，副本</w:t>
      </w:r>
      <w:r>
        <w:rPr>
          <w:rFonts w:hint="eastAsia" w:ascii="仿宋" w:hAnsi="仿宋" w:eastAsia="仿宋"/>
          <w:sz w:val="28"/>
          <w:szCs w:val="28"/>
          <w:lang w:val="en-US" w:eastAsia="zh-CN"/>
        </w:rPr>
        <w:t>二</w:t>
      </w:r>
      <w:r>
        <w:rPr>
          <w:rFonts w:hint="eastAsia" w:ascii="仿宋" w:hAnsi="仿宋" w:eastAsia="仿宋"/>
          <w:sz w:val="28"/>
          <w:szCs w:val="28"/>
        </w:rPr>
        <w:t>份。</w:t>
      </w:r>
    </w:p>
    <w:p w14:paraId="2B2433A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3.1 投标人应严</w:t>
      </w:r>
      <w:r>
        <w:rPr>
          <w:rFonts w:hint="eastAsia" w:ascii="仿宋" w:hAnsi="仿宋" w:eastAsia="仿宋"/>
          <w:b/>
          <w:bCs/>
          <w:color w:val="FF0000"/>
          <w:sz w:val="28"/>
          <w:szCs w:val="28"/>
        </w:rPr>
        <w:t>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10</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bCs/>
          <w:color w:val="FF0000"/>
          <w:spacing w:val="-20"/>
          <w:sz w:val="28"/>
          <w:szCs w:val="28"/>
        </w:rPr>
        <w:t>202</w:t>
      </w:r>
      <w:r>
        <w:rPr>
          <w:rFonts w:hint="eastAsia" w:ascii="仿宋" w:hAnsi="仿宋" w:eastAsia="仿宋"/>
          <w:b/>
          <w:bCs/>
          <w:color w:val="FF0000"/>
          <w:spacing w:val="-20"/>
          <w:sz w:val="28"/>
          <w:szCs w:val="28"/>
          <w:lang w:val="en-US" w:eastAsia="zh-CN"/>
        </w:rPr>
        <w:t>6</w:t>
      </w:r>
      <w:r>
        <w:rPr>
          <w:rFonts w:hint="eastAsia" w:ascii="仿宋" w:hAnsi="仿宋" w:eastAsia="仿宋"/>
          <w:b/>
          <w:bCs/>
          <w:color w:val="FF0000"/>
          <w:spacing w:val="-20"/>
          <w:sz w:val="28"/>
          <w:szCs w:val="28"/>
        </w:rPr>
        <w:t>年</w:t>
      </w:r>
      <w:r>
        <w:rPr>
          <w:rFonts w:hint="eastAsia" w:ascii="仿宋" w:hAnsi="仿宋" w:eastAsia="仿宋"/>
          <w:b/>
          <w:bCs/>
          <w:color w:val="FF0000"/>
          <w:spacing w:val="-20"/>
          <w:sz w:val="28"/>
          <w:szCs w:val="28"/>
          <w:lang w:val="en-US" w:eastAsia="zh-CN"/>
        </w:rPr>
        <w:t>2</w:t>
      </w:r>
      <w:r>
        <w:rPr>
          <w:rFonts w:hint="eastAsia" w:ascii="仿宋" w:hAnsi="仿宋" w:eastAsia="仿宋"/>
          <w:b/>
          <w:bCs/>
          <w:color w:val="FF0000"/>
          <w:spacing w:val="-20"/>
          <w:sz w:val="28"/>
          <w:szCs w:val="28"/>
        </w:rPr>
        <w:t>月</w:t>
      </w:r>
      <w:r>
        <w:rPr>
          <w:rFonts w:hint="eastAsia" w:ascii="仿宋" w:hAnsi="仿宋" w:eastAsia="仿宋"/>
          <w:b/>
          <w:bCs/>
          <w:color w:val="FF0000"/>
          <w:spacing w:val="-20"/>
          <w:sz w:val="28"/>
          <w:szCs w:val="28"/>
          <w:lang w:val="en-US" w:eastAsia="zh-CN"/>
        </w:rPr>
        <w:t>10</w:t>
      </w:r>
      <w:r>
        <w:rPr>
          <w:rFonts w:hint="eastAsia" w:ascii="仿宋" w:hAnsi="仿宋" w:eastAsia="仿宋"/>
          <w:b/>
          <w:bCs/>
          <w:color w:val="FF0000"/>
          <w:spacing w:val="-20"/>
          <w:sz w:val="28"/>
          <w:szCs w:val="28"/>
        </w:rPr>
        <w:t>日（北京时间）之前不得启封</w:t>
      </w:r>
      <w:r>
        <w:rPr>
          <w:rFonts w:hint="eastAsia" w:ascii="仿宋" w:hAnsi="仿宋" w:eastAsia="仿宋"/>
          <w:spacing w:val="-20"/>
          <w:sz w:val="28"/>
          <w:szCs w:val="28"/>
        </w:rPr>
        <w:t>”字样。</w:t>
      </w:r>
    </w:p>
    <w:p w14:paraId="3AEAACE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hint="eastAsia"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hint="eastAsia"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评标价格权重60%，商务部分权重10%，技术部分权重30%。</w:t>
      </w:r>
    </w:p>
    <w:p w14:paraId="5BAE65A6">
      <w:pPr>
        <w:spacing w:line="460" w:lineRule="exact"/>
        <w:ind w:firstLine="560" w:firstLineChars="200"/>
        <w:rPr>
          <w:rFonts w:hint="eastAsia"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234" w:beforeLines="75" w:after="234" w:afterLines="75" w:line="300" w:lineRule="exact"/>
        <w:ind w:firstLine="840" w:firstLineChars="300"/>
        <w:rPr>
          <w:rFonts w:hint="eastAsia" w:ascii="仿宋" w:hAnsi="仿宋" w:eastAsia="仿宋"/>
          <w:sz w:val="28"/>
          <w:szCs w:val="28"/>
        </w:rPr>
      </w:pPr>
      <w:r>
        <w:rPr>
          <w:rFonts w:hint="eastAsia" w:ascii="仿宋" w:hAnsi="仿宋" w:eastAsia="仿宋"/>
          <w:sz w:val="28"/>
          <w:szCs w:val="28"/>
        </w:rPr>
        <w:t xml:space="preserve">C＝60-10×（P-PMIN）/（PMAX-PMIN）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234" w:beforeLines="75" w:after="234" w:afterLines="75" w:line="280" w:lineRule="exact"/>
        <w:ind w:left="630" w:leftChars="300"/>
        <w:rPr>
          <w:rFonts w:hint="eastAsia"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hint="eastAsia"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094BD36B">
      <w:pPr>
        <w:spacing w:line="460" w:lineRule="exact"/>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2D55C55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5、商务部分评分表（10分）</w:t>
      </w:r>
    </w:p>
    <w:tbl>
      <w:tblPr>
        <w:tblStyle w:val="4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1D3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42430D29">
            <w:pPr>
              <w:jc w:val="center"/>
              <w:rPr>
                <w:rFonts w:hint="eastAsia" w:ascii="仿宋" w:hAnsi="仿宋" w:eastAsia="仿宋" w:cs="仿宋"/>
                <w:sz w:val="22"/>
              </w:rPr>
            </w:pPr>
            <w:r>
              <w:rPr>
                <w:rFonts w:hint="eastAsia" w:ascii="仿宋" w:hAnsi="仿宋" w:eastAsia="仿宋" w:cs="仿宋"/>
                <w:sz w:val="22"/>
              </w:rPr>
              <w:t>序号</w:t>
            </w:r>
          </w:p>
        </w:tc>
        <w:tc>
          <w:tcPr>
            <w:tcW w:w="1691" w:type="dxa"/>
            <w:vAlign w:val="center"/>
          </w:tcPr>
          <w:p w14:paraId="215CC346">
            <w:pPr>
              <w:jc w:val="center"/>
              <w:rPr>
                <w:rFonts w:hint="eastAsia" w:ascii="仿宋" w:hAnsi="仿宋" w:eastAsia="仿宋" w:cs="仿宋"/>
                <w:sz w:val="22"/>
              </w:rPr>
            </w:pPr>
            <w:r>
              <w:rPr>
                <w:rFonts w:hint="eastAsia" w:ascii="仿宋" w:hAnsi="仿宋" w:eastAsia="仿宋" w:cs="仿宋"/>
                <w:sz w:val="22"/>
              </w:rPr>
              <w:t>评分因素</w:t>
            </w:r>
          </w:p>
        </w:tc>
        <w:tc>
          <w:tcPr>
            <w:tcW w:w="1134" w:type="dxa"/>
            <w:vAlign w:val="center"/>
          </w:tcPr>
          <w:p w14:paraId="7EBC250D">
            <w:pPr>
              <w:jc w:val="center"/>
              <w:rPr>
                <w:rFonts w:hint="eastAsia" w:ascii="仿宋" w:hAnsi="仿宋" w:eastAsia="仿宋" w:cs="仿宋"/>
                <w:sz w:val="22"/>
              </w:rPr>
            </w:pPr>
            <w:r>
              <w:rPr>
                <w:rFonts w:hint="eastAsia" w:ascii="仿宋" w:hAnsi="仿宋" w:eastAsia="仿宋" w:cs="仿宋"/>
                <w:sz w:val="22"/>
              </w:rPr>
              <w:t>考核内容</w:t>
            </w:r>
          </w:p>
        </w:tc>
        <w:tc>
          <w:tcPr>
            <w:tcW w:w="709" w:type="dxa"/>
            <w:vAlign w:val="center"/>
          </w:tcPr>
          <w:p w14:paraId="12E64EA6">
            <w:pPr>
              <w:jc w:val="center"/>
              <w:rPr>
                <w:rFonts w:hint="eastAsia" w:ascii="仿宋" w:hAnsi="仿宋" w:eastAsia="仿宋" w:cs="仿宋"/>
                <w:sz w:val="22"/>
              </w:rPr>
            </w:pPr>
            <w:r>
              <w:rPr>
                <w:rFonts w:hint="eastAsia" w:ascii="仿宋" w:hAnsi="仿宋" w:eastAsia="仿宋" w:cs="仿宋"/>
                <w:sz w:val="22"/>
              </w:rPr>
              <w:t>标准分</w:t>
            </w:r>
          </w:p>
        </w:tc>
        <w:tc>
          <w:tcPr>
            <w:tcW w:w="4961" w:type="dxa"/>
            <w:vAlign w:val="center"/>
          </w:tcPr>
          <w:p w14:paraId="2863F193">
            <w:pPr>
              <w:jc w:val="center"/>
              <w:rPr>
                <w:rFonts w:hint="eastAsia" w:ascii="仿宋" w:hAnsi="仿宋" w:eastAsia="仿宋" w:cs="仿宋"/>
                <w:sz w:val="22"/>
              </w:rPr>
            </w:pPr>
            <w:r>
              <w:rPr>
                <w:rFonts w:hint="eastAsia" w:ascii="仿宋" w:hAnsi="仿宋" w:eastAsia="仿宋" w:cs="仿宋"/>
                <w:sz w:val="22"/>
              </w:rPr>
              <w:t>评分标准说明</w:t>
            </w:r>
          </w:p>
        </w:tc>
      </w:tr>
      <w:tr w14:paraId="066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70B2C78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59DA19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财务状况（1.5分）</w:t>
            </w:r>
          </w:p>
        </w:tc>
        <w:tc>
          <w:tcPr>
            <w:tcW w:w="1134" w:type="dxa"/>
            <w:vAlign w:val="center"/>
          </w:tcPr>
          <w:p w14:paraId="5B4D215A">
            <w:pPr>
              <w:spacing w:line="240" w:lineRule="exact"/>
              <w:rPr>
                <w:rFonts w:hint="eastAsia"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3905716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20DD6CD8">
            <w:pPr>
              <w:snapToGrid w:val="0"/>
              <w:spacing w:line="240" w:lineRule="exact"/>
              <w:rPr>
                <w:rFonts w:hint="eastAsia" w:ascii="仿宋" w:hAnsi="仿宋" w:eastAsia="仿宋"/>
                <w:sz w:val="18"/>
                <w:szCs w:val="18"/>
              </w:rPr>
            </w:pPr>
            <w:r>
              <w:rPr>
                <w:rFonts w:hint="eastAsia" w:ascii="仿宋" w:hAnsi="仿宋" w:eastAsia="仿宋"/>
                <w:sz w:val="18"/>
                <w:szCs w:val="18"/>
              </w:rPr>
              <w:t>投标人提供近三年（2022年度、2023年度、2024年度）完整审计报告，企业连续三年均盈利得1.5分，两年（含两年）显示盈利得1分，两年以下显示盈利得0分。</w:t>
            </w:r>
          </w:p>
          <w:p w14:paraId="69A552D0">
            <w:pPr>
              <w:spacing w:line="240" w:lineRule="exact"/>
              <w:rPr>
                <w:rFonts w:hint="eastAsia"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391E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34994CC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78232E81">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w:t>
            </w:r>
            <w:r>
              <w:rPr>
                <w:rFonts w:hint="eastAsia" w:ascii="仿宋" w:hAnsi="仿宋" w:eastAsia="仿宋" w:cs="仿宋"/>
                <w:sz w:val="18"/>
                <w:szCs w:val="18"/>
              </w:rPr>
              <w:t>1.5</w:t>
            </w:r>
            <w:r>
              <w:rPr>
                <w:rFonts w:ascii="仿宋" w:hAnsi="仿宋" w:eastAsia="仿宋" w:cs="仿宋"/>
                <w:sz w:val="18"/>
                <w:szCs w:val="18"/>
              </w:rPr>
              <w:t>分）</w:t>
            </w:r>
          </w:p>
        </w:tc>
        <w:tc>
          <w:tcPr>
            <w:tcW w:w="1134" w:type="dxa"/>
            <w:vAlign w:val="center"/>
          </w:tcPr>
          <w:p w14:paraId="78BBFE4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5F15D2F6">
            <w:pPr>
              <w:spacing w:line="240" w:lineRule="exact"/>
              <w:jc w:val="center"/>
              <w:rPr>
                <w:rFonts w:hint="eastAsia" w:ascii="仿宋" w:hAnsi="仿宋" w:eastAsia="仿宋" w:cs="仿宋"/>
                <w:sz w:val="18"/>
                <w:szCs w:val="18"/>
              </w:rPr>
            </w:pPr>
          </w:p>
          <w:p w14:paraId="634B0EF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518B0821">
            <w:pPr>
              <w:snapToGrid w:val="0"/>
              <w:spacing w:line="240" w:lineRule="exact"/>
              <w:jc w:val="left"/>
              <w:rPr>
                <w:rFonts w:hint="eastAsia"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w:t>
            </w:r>
            <w:r>
              <w:rPr>
                <w:rFonts w:hint="eastAsia" w:ascii="仿宋" w:hAnsi="仿宋" w:eastAsia="仿宋" w:cs="仿宋"/>
                <w:sz w:val="18"/>
                <w:szCs w:val="18"/>
              </w:rPr>
              <w:t>每具备一个</w:t>
            </w:r>
            <w:r>
              <w:rPr>
                <w:rFonts w:ascii="仿宋" w:hAnsi="仿宋" w:eastAsia="仿宋" w:cs="仿宋"/>
                <w:sz w:val="18"/>
                <w:szCs w:val="18"/>
              </w:rPr>
              <w:t>得</w:t>
            </w:r>
            <w:r>
              <w:rPr>
                <w:rFonts w:hint="eastAsia" w:ascii="仿宋" w:hAnsi="仿宋" w:eastAsia="仿宋" w:cs="仿宋"/>
                <w:sz w:val="18"/>
                <w:szCs w:val="18"/>
              </w:rPr>
              <w:t>0.5</w:t>
            </w:r>
            <w:r>
              <w:rPr>
                <w:rFonts w:ascii="仿宋" w:hAnsi="仿宋" w:eastAsia="仿宋" w:cs="仿宋"/>
                <w:sz w:val="18"/>
                <w:szCs w:val="18"/>
              </w:rPr>
              <w:t>分</w:t>
            </w:r>
            <w:r>
              <w:rPr>
                <w:rFonts w:hint="eastAsia" w:ascii="仿宋" w:hAnsi="仿宋" w:eastAsia="仿宋" w:cs="仿宋"/>
                <w:sz w:val="18"/>
                <w:szCs w:val="18"/>
              </w:rPr>
              <w:t>，否则不得分。</w:t>
            </w:r>
          </w:p>
          <w:p w14:paraId="5DC3BC5E">
            <w:pPr>
              <w:spacing w:line="240" w:lineRule="exact"/>
              <w:rPr>
                <w:rFonts w:hint="eastAsia"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0FEC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5AC769D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1691" w:type="dxa"/>
            <w:vAlign w:val="center"/>
          </w:tcPr>
          <w:p w14:paraId="2F3515DC">
            <w:pPr>
              <w:snapToGrid w:val="0"/>
              <w:spacing w:line="240" w:lineRule="exact"/>
              <w:jc w:val="center"/>
              <w:rPr>
                <w:rFonts w:hint="eastAsia" w:ascii="仿宋" w:hAnsi="仿宋" w:eastAsia="仿宋"/>
                <w:sz w:val="18"/>
                <w:szCs w:val="18"/>
              </w:rPr>
            </w:pPr>
            <w:r>
              <w:rPr>
                <w:rFonts w:ascii="仿宋" w:hAnsi="仿宋" w:eastAsia="仿宋"/>
                <w:sz w:val="18"/>
                <w:szCs w:val="18"/>
              </w:rPr>
              <w:t>信用评价</w:t>
            </w:r>
          </w:p>
          <w:p w14:paraId="229452D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（1.5分）</w:t>
            </w:r>
          </w:p>
        </w:tc>
        <w:tc>
          <w:tcPr>
            <w:tcW w:w="1134" w:type="dxa"/>
            <w:vAlign w:val="center"/>
          </w:tcPr>
          <w:p w14:paraId="2F3AEB9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026D699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3A775B08">
            <w:pPr>
              <w:snapToGrid w:val="0"/>
              <w:spacing w:line="240" w:lineRule="exact"/>
              <w:rPr>
                <w:rFonts w:hint="eastAsia"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22</w:t>
            </w:r>
            <w:r>
              <w:rPr>
                <w:rFonts w:ascii="仿宋" w:hAnsi="仿宋" w:eastAsia="仿宋" w:cs="仿宋"/>
                <w:sz w:val="18"/>
                <w:szCs w:val="18"/>
              </w:rPr>
              <w:t>年以来连续三年被评为AAA级的企业得</w:t>
            </w:r>
            <w:r>
              <w:rPr>
                <w:rFonts w:hint="eastAsia" w:ascii="仿宋" w:hAnsi="仿宋" w:eastAsia="仿宋" w:cs="仿宋"/>
                <w:sz w:val="18"/>
                <w:szCs w:val="18"/>
              </w:rPr>
              <w:t>1.5</w:t>
            </w:r>
            <w:r>
              <w:rPr>
                <w:rFonts w:ascii="仿宋" w:hAnsi="仿宋" w:eastAsia="仿宋" w:cs="仿宋"/>
                <w:sz w:val="18"/>
                <w:szCs w:val="18"/>
              </w:rPr>
              <w:t>分；连续两年被评为AAA级的企业得</w:t>
            </w:r>
            <w:r>
              <w:rPr>
                <w:rFonts w:hint="eastAsia" w:ascii="仿宋" w:hAnsi="仿宋" w:eastAsia="仿宋" w:cs="仿宋"/>
                <w:sz w:val="18"/>
                <w:szCs w:val="18"/>
              </w:rPr>
              <w:t>1</w:t>
            </w:r>
            <w:r>
              <w:rPr>
                <w:rFonts w:ascii="仿宋" w:hAnsi="仿宋" w:eastAsia="仿宋" w:cs="仿宋"/>
                <w:sz w:val="18"/>
                <w:szCs w:val="18"/>
              </w:rPr>
              <w:t>分；一年内被评为AAA级的企业得</w:t>
            </w:r>
            <w:r>
              <w:rPr>
                <w:rFonts w:hint="eastAsia" w:ascii="仿宋" w:hAnsi="仿宋" w:eastAsia="仿宋" w:cs="仿宋"/>
                <w:sz w:val="18"/>
                <w:szCs w:val="18"/>
              </w:rPr>
              <w:t>0.5</w:t>
            </w:r>
            <w:r>
              <w:rPr>
                <w:rFonts w:ascii="仿宋" w:hAnsi="仿宋" w:eastAsia="仿宋" w:cs="仿宋"/>
                <w:sz w:val="18"/>
                <w:szCs w:val="18"/>
              </w:rPr>
              <w:t>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34D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714" w:type="dxa"/>
            <w:vMerge w:val="restart"/>
            <w:vAlign w:val="center"/>
          </w:tcPr>
          <w:p w14:paraId="6E70286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c>
          <w:tcPr>
            <w:tcW w:w="1691" w:type="dxa"/>
            <w:vMerge w:val="restart"/>
            <w:vAlign w:val="center"/>
          </w:tcPr>
          <w:p w14:paraId="5FCA63C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w:t>
            </w:r>
          </w:p>
          <w:p w14:paraId="7262FFBE">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（1.5分）</w:t>
            </w:r>
          </w:p>
        </w:tc>
        <w:tc>
          <w:tcPr>
            <w:tcW w:w="1134" w:type="dxa"/>
            <w:vAlign w:val="center"/>
          </w:tcPr>
          <w:p w14:paraId="5AFA012D">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440BFD9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1B0BF5A1">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06C5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14" w:type="dxa"/>
            <w:vMerge w:val="continue"/>
            <w:vAlign w:val="center"/>
          </w:tcPr>
          <w:p w14:paraId="49E99C3F">
            <w:pPr>
              <w:spacing w:line="240" w:lineRule="exact"/>
              <w:jc w:val="center"/>
              <w:rPr>
                <w:rFonts w:hint="eastAsia" w:ascii="仿宋" w:hAnsi="仿宋" w:eastAsia="仿宋" w:cs="仿宋"/>
                <w:sz w:val="18"/>
                <w:szCs w:val="18"/>
              </w:rPr>
            </w:pPr>
          </w:p>
        </w:tc>
        <w:tc>
          <w:tcPr>
            <w:tcW w:w="1691" w:type="dxa"/>
            <w:vMerge w:val="continue"/>
            <w:vAlign w:val="center"/>
          </w:tcPr>
          <w:p w14:paraId="221C0437">
            <w:pPr>
              <w:snapToGrid w:val="0"/>
              <w:spacing w:line="240" w:lineRule="exact"/>
              <w:jc w:val="center"/>
              <w:rPr>
                <w:rFonts w:hint="eastAsia" w:ascii="仿宋" w:hAnsi="仿宋" w:eastAsia="仿宋"/>
                <w:sz w:val="18"/>
                <w:szCs w:val="18"/>
              </w:rPr>
            </w:pPr>
          </w:p>
        </w:tc>
        <w:tc>
          <w:tcPr>
            <w:tcW w:w="1134" w:type="dxa"/>
            <w:vAlign w:val="center"/>
          </w:tcPr>
          <w:p w14:paraId="27DA77F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03390B3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3E70C1BB">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3C8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714" w:type="dxa"/>
            <w:vMerge w:val="continue"/>
            <w:vAlign w:val="center"/>
          </w:tcPr>
          <w:p w14:paraId="4EC3195D">
            <w:pPr>
              <w:spacing w:line="240" w:lineRule="exact"/>
              <w:jc w:val="center"/>
              <w:rPr>
                <w:rFonts w:hint="eastAsia" w:ascii="仿宋" w:hAnsi="仿宋" w:eastAsia="仿宋" w:cs="仿宋"/>
                <w:sz w:val="18"/>
                <w:szCs w:val="18"/>
              </w:rPr>
            </w:pPr>
          </w:p>
        </w:tc>
        <w:tc>
          <w:tcPr>
            <w:tcW w:w="1691" w:type="dxa"/>
            <w:vMerge w:val="continue"/>
            <w:vAlign w:val="center"/>
          </w:tcPr>
          <w:p w14:paraId="2DB0D483">
            <w:pPr>
              <w:snapToGrid w:val="0"/>
              <w:spacing w:line="240" w:lineRule="exact"/>
              <w:jc w:val="center"/>
              <w:rPr>
                <w:rFonts w:hint="eastAsia" w:ascii="仿宋" w:hAnsi="仿宋" w:eastAsia="仿宋"/>
                <w:sz w:val="18"/>
                <w:szCs w:val="18"/>
              </w:rPr>
            </w:pPr>
          </w:p>
        </w:tc>
        <w:tc>
          <w:tcPr>
            <w:tcW w:w="1134" w:type="dxa"/>
            <w:vAlign w:val="center"/>
          </w:tcPr>
          <w:p w14:paraId="73D56341">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5C4DA142">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29304981">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6FC9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14" w:type="dxa"/>
            <w:vAlign w:val="center"/>
          </w:tcPr>
          <w:p w14:paraId="2CF71A8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1EC2116D">
            <w:pPr>
              <w:spacing w:line="240" w:lineRule="exact"/>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p w14:paraId="16234EA7">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（1分）</w:t>
            </w:r>
          </w:p>
        </w:tc>
        <w:tc>
          <w:tcPr>
            <w:tcW w:w="1134" w:type="dxa"/>
            <w:vAlign w:val="center"/>
          </w:tcPr>
          <w:p w14:paraId="638D1E27">
            <w:pPr>
              <w:spacing w:line="240" w:lineRule="exact"/>
              <w:jc w:val="center"/>
              <w:rPr>
                <w:rFonts w:hint="eastAsia" w:ascii="仿宋" w:hAnsi="仿宋" w:eastAsia="仿宋" w:cs="仿宋"/>
                <w:sz w:val="18"/>
                <w:szCs w:val="18"/>
              </w:rPr>
            </w:pPr>
            <w:r>
              <w:rPr>
                <w:rFonts w:hint="eastAsia" w:ascii="仿宋" w:hAnsi="仿宋" w:eastAsia="仿宋" w:cs="仿宋"/>
                <w:snapToGrid w:val="0"/>
                <w:kern w:val="0"/>
                <w:sz w:val="18"/>
                <w:szCs w:val="18"/>
              </w:rPr>
              <w:t>实质性优惠</w:t>
            </w:r>
          </w:p>
        </w:tc>
        <w:tc>
          <w:tcPr>
            <w:tcW w:w="709" w:type="dxa"/>
            <w:vAlign w:val="center"/>
          </w:tcPr>
          <w:p w14:paraId="37CAB4EE">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768BE47A">
            <w:pPr>
              <w:snapToGrid w:val="0"/>
              <w:spacing w:line="240" w:lineRule="exact"/>
              <w:rPr>
                <w:rFonts w:hint="eastAsia" w:ascii="仿宋" w:hAnsi="仿宋" w:eastAsia="仿宋" w:cs="仿宋"/>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满足招标文件要求外，投标人另外提供的实质性优惠条件或增值服务的，根据投标人提供的承诺书，进行横向比较后打0-1分，不提供不得分。</w:t>
            </w:r>
          </w:p>
        </w:tc>
      </w:tr>
      <w:tr w14:paraId="1DC9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E9AB1F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5FAAD2B5">
            <w:pPr>
              <w:snapToGrid w:val="0"/>
              <w:spacing w:line="240" w:lineRule="exact"/>
              <w:jc w:val="center"/>
              <w:rPr>
                <w:rFonts w:hint="eastAsia" w:ascii="仿宋" w:hAnsi="仿宋" w:eastAsia="仿宋"/>
                <w:sz w:val="18"/>
                <w:szCs w:val="18"/>
              </w:rPr>
            </w:pPr>
            <w:r>
              <w:rPr>
                <w:rFonts w:hint="eastAsia" w:ascii="仿宋" w:hAnsi="仿宋" w:eastAsia="仿宋"/>
                <w:sz w:val="18"/>
                <w:szCs w:val="18"/>
              </w:rPr>
              <w:t>质保承诺</w:t>
            </w:r>
          </w:p>
          <w:p w14:paraId="37625281">
            <w:pPr>
              <w:spacing w:line="240" w:lineRule="exact"/>
              <w:jc w:val="center"/>
              <w:rPr>
                <w:rFonts w:hint="eastAsia" w:ascii="仿宋" w:hAnsi="仿宋" w:eastAsia="仿宋" w:cs="仿宋"/>
                <w:sz w:val="18"/>
                <w:szCs w:val="18"/>
              </w:rPr>
            </w:pPr>
            <w:r>
              <w:rPr>
                <w:rFonts w:hint="eastAsia" w:ascii="仿宋" w:hAnsi="仿宋" w:eastAsia="仿宋"/>
                <w:sz w:val="18"/>
                <w:szCs w:val="18"/>
              </w:rPr>
              <w:t>（1分）</w:t>
            </w:r>
          </w:p>
        </w:tc>
        <w:tc>
          <w:tcPr>
            <w:tcW w:w="1134" w:type="dxa"/>
            <w:vAlign w:val="center"/>
          </w:tcPr>
          <w:p w14:paraId="5203F62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7D07277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1681A5EC">
            <w:pPr>
              <w:pStyle w:val="21"/>
              <w:snapToGrid w:val="0"/>
              <w:spacing w:line="240" w:lineRule="exact"/>
              <w:rPr>
                <w:rFonts w:hint="eastAsia"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w:t>
            </w:r>
            <w:r>
              <w:rPr>
                <w:rFonts w:hint="eastAsia" w:ascii="仿宋" w:hAnsi="仿宋" w:eastAsia="仿宋" w:cs="仿宋"/>
                <w:color w:val="auto"/>
                <w:sz w:val="18"/>
                <w:szCs w:val="18"/>
              </w:rPr>
              <w:t>0.5</w:t>
            </w:r>
            <w:r>
              <w:rPr>
                <w:rFonts w:ascii="仿宋" w:hAnsi="仿宋" w:eastAsia="仿宋" w:cs="仿宋"/>
                <w:color w:val="auto"/>
                <w:sz w:val="18"/>
                <w:szCs w:val="18"/>
              </w:rPr>
              <w:t>分，最高得</w:t>
            </w:r>
            <w:r>
              <w:rPr>
                <w:rFonts w:hint="eastAsia" w:ascii="仿宋" w:hAnsi="仿宋" w:eastAsia="仿宋" w:cs="仿宋"/>
                <w:color w:val="auto"/>
                <w:sz w:val="18"/>
                <w:szCs w:val="18"/>
              </w:rPr>
              <w:t>1</w:t>
            </w:r>
            <w:r>
              <w:rPr>
                <w:rFonts w:ascii="仿宋" w:hAnsi="仿宋" w:eastAsia="仿宋" w:cs="仿宋"/>
                <w:color w:val="auto"/>
                <w:sz w:val="18"/>
                <w:szCs w:val="18"/>
              </w:rPr>
              <w:t>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06C7104D">
            <w:pPr>
              <w:spacing w:line="240" w:lineRule="exact"/>
              <w:rPr>
                <w:rFonts w:hint="eastAsia" w:ascii="仿宋" w:hAnsi="仿宋" w:eastAsia="仿宋" w:cs="仿宋"/>
                <w:sz w:val="18"/>
                <w:szCs w:val="18"/>
              </w:rPr>
            </w:pPr>
            <w:r>
              <w:rPr>
                <w:rFonts w:hint="eastAsia" w:ascii="仿宋" w:hAnsi="仿宋" w:eastAsia="仿宋"/>
                <w:b/>
                <w:bCs/>
                <w:sz w:val="18"/>
                <w:szCs w:val="18"/>
              </w:rPr>
              <w:t>（须在投标文件中附承诺并加盖公章，否则不得分。）</w:t>
            </w:r>
          </w:p>
        </w:tc>
      </w:tr>
      <w:tr w14:paraId="3275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714" w:type="dxa"/>
            <w:vAlign w:val="center"/>
          </w:tcPr>
          <w:p w14:paraId="44B6EAB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7</w:t>
            </w:r>
          </w:p>
        </w:tc>
        <w:tc>
          <w:tcPr>
            <w:tcW w:w="1691" w:type="dxa"/>
            <w:vAlign w:val="center"/>
          </w:tcPr>
          <w:p w14:paraId="38575CC7">
            <w:pPr>
              <w:snapToGrid w:val="0"/>
              <w:spacing w:line="240" w:lineRule="exact"/>
              <w:jc w:val="center"/>
              <w:rPr>
                <w:rFonts w:hint="eastAsia" w:ascii="仿宋" w:hAnsi="仿宋" w:eastAsia="仿宋"/>
                <w:sz w:val="18"/>
                <w:szCs w:val="18"/>
              </w:rPr>
            </w:pPr>
            <w:r>
              <w:rPr>
                <w:rFonts w:hint="eastAsia" w:ascii="仿宋" w:hAnsi="仿宋" w:eastAsia="仿宋"/>
                <w:sz w:val="18"/>
                <w:szCs w:val="18"/>
              </w:rPr>
              <w:t>综合评价（2分）</w:t>
            </w:r>
          </w:p>
        </w:tc>
        <w:tc>
          <w:tcPr>
            <w:tcW w:w="1134" w:type="dxa"/>
            <w:vAlign w:val="center"/>
          </w:tcPr>
          <w:p w14:paraId="0A8F002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综合评价</w:t>
            </w:r>
          </w:p>
        </w:tc>
        <w:tc>
          <w:tcPr>
            <w:tcW w:w="709" w:type="dxa"/>
            <w:vAlign w:val="center"/>
          </w:tcPr>
          <w:p w14:paraId="2B05CB6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961" w:type="dxa"/>
            <w:vAlign w:val="center"/>
          </w:tcPr>
          <w:p w14:paraId="18593C8F">
            <w:pPr>
              <w:pStyle w:val="21"/>
              <w:snapToGrid w:val="0"/>
              <w:spacing w:line="240" w:lineRule="exact"/>
              <w:rPr>
                <w:rFonts w:hint="eastAsia" w:ascii="仿宋" w:hAnsi="仿宋" w:eastAsia="仿宋" w:cs="仿宋"/>
                <w:color w:val="auto"/>
                <w:sz w:val="18"/>
                <w:szCs w:val="18"/>
              </w:rPr>
            </w:pPr>
            <w:r>
              <w:rPr>
                <w:rFonts w:hint="eastAsia" w:ascii="仿宋" w:hAnsi="仿宋" w:eastAsia="仿宋"/>
                <w:color w:val="auto"/>
                <w:sz w:val="18"/>
                <w:szCs w:val="18"/>
              </w:rPr>
              <w:t>对投标单位的能力以及完成项目的进度、质量、安全、信誉等方面</w:t>
            </w:r>
            <w:r>
              <w:rPr>
                <w:rFonts w:ascii="仿宋" w:hAnsi="仿宋" w:eastAsia="仿宋"/>
                <w:color w:val="auto"/>
                <w:sz w:val="18"/>
                <w:szCs w:val="18"/>
              </w:rPr>
              <w:t>进行综合评价</w:t>
            </w:r>
          </w:p>
        </w:tc>
      </w:tr>
    </w:tbl>
    <w:p w14:paraId="188A469A">
      <w:pPr>
        <w:spacing w:line="460" w:lineRule="exact"/>
        <w:rPr>
          <w:rFonts w:hint="eastAsia" w:ascii="仿宋" w:hAnsi="仿宋" w:eastAsia="仿宋"/>
          <w:sz w:val="28"/>
          <w:szCs w:val="28"/>
        </w:rPr>
      </w:pPr>
      <w:r>
        <w:rPr>
          <w:rFonts w:hint="eastAsia" w:ascii="仿宋" w:hAnsi="仿宋" w:eastAsia="仿宋"/>
          <w:sz w:val="28"/>
          <w:szCs w:val="28"/>
        </w:rPr>
        <w:t>6、技术评分表</w:t>
      </w:r>
    </w:p>
    <w:p w14:paraId="0BC349CE">
      <w:pPr>
        <w:spacing w:before="234" w:beforeLines="75" w:after="234" w:afterLines="75"/>
        <w:jc w:val="center"/>
        <w:rPr>
          <w:rFonts w:hint="eastAsia" w:ascii="宋体" w:hAnsi="宋体"/>
          <w:b/>
          <w:szCs w:val="21"/>
        </w:rPr>
      </w:pPr>
      <w:r>
        <w:rPr>
          <w:rFonts w:hint="eastAsia" w:ascii="宋体" w:hAnsi="宋体"/>
          <w:b/>
          <w:szCs w:val="21"/>
        </w:rPr>
        <w:t>技术部分评分表（30分）</w:t>
      </w:r>
    </w:p>
    <w:tbl>
      <w:tblPr>
        <w:tblStyle w:val="4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461"/>
      </w:tblGrid>
      <w:tr w14:paraId="3F67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1335DEDD">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14B38181">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461" w:type="dxa"/>
            <w:vAlign w:val="center"/>
          </w:tcPr>
          <w:p w14:paraId="457BF4B3">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175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421" w:type="dxa"/>
            <w:vAlign w:val="center"/>
          </w:tcPr>
          <w:p w14:paraId="79B8A4C4">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3B95E7D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基本功能与配置</w:t>
            </w:r>
          </w:p>
        </w:tc>
        <w:tc>
          <w:tcPr>
            <w:tcW w:w="709" w:type="dxa"/>
            <w:vAlign w:val="center"/>
          </w:tcPr>
          <w:p w14:paraId="00ED027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1F839E3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投标方根据招标文件技术部分编制投标方案，填写供货清单、设备参数，说明设备特点，对招标书响应情况，填写技术差异表等。对设备的配置、功能、性能进行评分：1-3分</w:t>
            </w:r>
          </w:p>
        </w:tc>
      </w:tr>
      <w:tr w14:paraId="43F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421" w:type="dxa"/>
            <w:vAlign w:val="center"/>
          </w:tcPr>
          <w:p w14:paraId="0239AB7D">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shd w:val="clear" w:color="auto" w:fill="auto"/>
            <w:vAlign w:val="center"/>
          </w:tcPr>
          <w:p w14:paraId="79748035">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综合技术水平</w:t>
            </w:r>
          </w:p>
        </w:tc>
        <w:tc>
          <w:tcPr>
            <w:tcW w:w="709" w:type="dxa"/>
            <w:shd w:val="clear" w:color="auto" w:fill="auto"/>
            <w:vAlign w:val="center"/>
          </w:tcPr>
          <w:p w14:paraId="056776BF">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6461" w:type="dxa"/>
            <w:shd w:val="clear" w:color="auto" w:fill="auto"/>
            <w:vAlign w:val="center"/>
          </w:tcPr>
          <w:p w14:paraId="6D43252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sz w:val="18"/>
                <w:szCs w:val="18"/>
              </w:rPr>
              <w:t>投标方应根据项目的特点，编制具有可行性的项目实施方案，包括但不限于执行标准清单、设备的制作工艺详细说明</w:t>
            </w:r>
            <w:r>
              <w:rPr>
                <w:rFonts w:hint="eastAsia" w:ascii="仿宋" w:hAnsi="仿宋" w:eastAsia="仿宋"/>
                <w:sz w:val="18"/>
                <w:szCs w:val="18"/>
                <w:lang w:val="en-US" w:eastAsia="zh-CN"/>
              </w:rPr>
              <w:t>(流程图）</w:t>
            </w:r>
            <w:r>
              <w:rPr>
                <w:rFonts w:hint="eastAsia" w:ascii="仿宋" w:hAnsi="仿宋" w:eastAsia="仿宋"/>
                <w:sz w:val="18"/>
                <w:szCs w:val="18"/>
              </w:rPr>
              <w:t>、设备质量保证措施、供货组织计划、交货期保证措施、安全管理等。</w:t>
            </w:r>
            <w:r>
              <w:rPr>
                <w:rFonts w:hint="eastAsia" w:ascii="仿宋" w:hAnsi="仿宋" w:eastAsia="仿宋" w:cs="仿宋"/>
                <w:snapToGrid w:val="0"/>
                <w:kern w:val="0"/>
                <w:sz w:val="18"/>
                <w:szCs w:val="18"/>
              </w:rPr>
              <w:t>对生产工艺、管理水平、技术水平、专利情况等进行综合评价：1-5分</w:t>
            </w:r>
          </w:p>
        </w:tc>
      </w:tr>
      <w:tr w14:paraId="7A83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421" w:type="dxa"/>
            <w:vAlign w:val="center"/>
          </w:tcPr>
          <w:p w14:paraId="4DA38C99">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shd w:val="clear" w:color="auto" w:fill="auto"/>
            <w:vAlign w:val="center"/>
          </w:tcPr>
          <w:p w14:paraId="1655B80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设备设计、制作、检验</w:t>
            </w:r>
          </w:p>
        </w:tc>
        <w:tc>
          <w:tcPr>
            <w:tcW w:w="709" w:type="dxa"/>
            <w:shd w:val="clear" w:color="auto" w:fill="auto"/>
            <w:vAlign w:val="center"/>
          </w:tcPr>
          <w:p w14:paraId="7181B45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17F0589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根据投标方设备的设计、检验测试、生产装备及技术力量打分：0-3分</w:t>
            </w:r>
          </w:p>
        </w:tc>
      </w:tr>
      <w:tr w14:paraId="52B9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421" w:type="dxa"/>
            <w:vAlign w:val="center"/>
          </w:tcPr>
          <w:p w14:paraId="33468858">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shd w:val="clear" w:color="auto" w:fill="auto"/>
            <w:vAlign w:val="center"/>
          </w:tcPr>
          <w:p w14:paraId="33E96F69">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shd w:val="clear" w:color="auto" w:fill="auto"/>
            <w:vAlign w:val="center"/>
          </w:tcPr>
          <w:p w14:paraId="1D63E80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1CC87EE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根据投标方随机备品备件的提供情况，进行横向比较后打分：0-</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23C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shd w:val="clear" w:color="auto" w:fill="auto"/>
            <w:vAlign w:val="center"/>
          </w:tcPr>
          <w:p w14:paraId="23F995E3">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38F7F8A3">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z w:val="18"/>
                <w:szCs w:val="18"/>
              </w:rPr>
              <w:t>业绩</w:t>
            </w:r>
          </w:p>
        </w:tc>
        <w:tc>
          <w:tcPr>
            <w:tcW w:w="709" w:type="dxa"/>
            <w:vAlign w:val="center"/>
          </w:tcPr>
          <w:p w14:paraId="1C0A5085">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z w:val="18"/>
                <w:szCs w:val="18"/>
              </w:rPr>
              <w:t>4</w:t>
            </w:r>
          </w:p>
        </w:tc>
        <w:tc>
          <w:tcPr>
            <w:tcW w:w="6461" w:type="dxa"/>
            <w:vAlign w:val="center"/>
          </w:tcPr>
          <w:p w14:paraId="52BFC6D9">
            <w:pPr>
              <w:spacing w:line="240" w:lineRule="exact"/>
              <w:rPr>
                <w:rFonts w:hint="eastAsia" w:ascii="仿宋" w:hAnsi="仿宋" w:eastAsia="仿宋" w:cs="仿宋"/>
                <w:snapToGrid w:val="0"/>
                <w:kern w:val="0"/>
                <w:sz w:val="18"/>
                <w:szCs w:val="18"/>
              </w:rPr>
            </w:pPr>
            <w:r>
              <w:rPr>
                <w:rFonts w:hint="eastAsia" w:ascii="仿宋" w:hAnsi="仿宋" w:eastAsia="仿宋"/>
                <w:sz w:val="18"/>
                <w:szCs w:val="18"/>
              </w:rPr>
              <w:t>近5年同行业类似业绩，每增加一个业绩加1分，最多得4分；</w:t>
            </w:r>
            <w:r>
              <w:rPr>
                <w:rFonts w:hint="eastAsia" w:ascii="仿宋" w:hAnsi="仿宋" w:eastAsia="仿宋" w:cs="仿宋"/>
                <w:snapToGrid w:val="0"/>
                <w:kern w:val="0"/>
                <w:sz w:val="18"/>
                <w:szCs w:val="18"/>
              </w:rPr>
              <w:t>业绩中要列出项目明细，所有业绩均须在投标文件中提供合同关键页扫描件</w:t>
            </w:r>
          </w:p>
        </w:tc>
      </w:tr>
      <w:tr w14:paraId="3AEB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421" w:type="dxa"/>
            <w:shd w:val="clear" w:color="auto" w:fill="auto"/>
            <w:vAlign w:val="center"/>
          </w:tcPr>
          <w:p w14:paraId="7D593F89">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3E7558A">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安装调试方案</w:t>
            </w:r>
          </w:p>
        </w:tc>
        <w:tc>
          <w:tcPr>
            <w:tcW w:w="709" w:type="dxa"/>
            <w:vAlign w:val="center"/>
          </w:tcPr>
          <w:p w14:paraId="3CC9893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6461" w:type="dxa"/>
            <w:vAlign w:val="center"/>
          </w:tcPr>
          <w:p w14:paraId="1AA0F285">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投标人应根据项目的特点，编制具有可行性的项目实施方案，包括但不限于执行标准清单、设备的制作工艺细节详细说明、满足功能要求的具体措施、设备质量保证措施、供货组织计划、安装调试措施、交货期保证措施、安全管理、现场服务人员投入等方面，其中对于交货保证措施要有专项方案。</w:t>
            </w:r>
          </w:p>
          <w:p w14:paraId="2B84AA5D">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内容详实，项目实施方案科学、合理、安全，考虑周全，措施到位，针对性强，得5-7分；</w:t>
            </w:r>
          </w:p>
          <w:p w14:paraId="1B8887A8">
            <w:pPr>
              <w:pStyle w:val="21"/>
              <w:snapToGrid w:val="0"/>
              <w:spacing w:line="240" w:lineRule="exact"/>
              <w:rPr>
                <w:rFonts w:hint="eastAsia" w:ascii="仿宋" w:hAnsi="仿宋" w:eastAsia="仿宋"/>
                <w:color w:val="auto"/>
                <w:sz w:val="18"/>
                <w:szCs w:val="18"/>
              </w:rPr>
            </w:pPr>
            <w:r>
              <w:rPr>
                <w:rFonts w:hint="eastAsia" w:ascii="仿宋" w:hAnsi="仿宋" w:eastAsia="仿宋"/>
                <w:color w:val="auto"/>
                <w:sz w:val="18"/>
                <w:szCs w:val="18"/>
              </w:rPr>
              <w:t>内容完整，项目实施方案基本科学、合理、安全，基本考虑周全，措施基本到位，得</w:t>
            </w:r>
            <w:r>
              <w:rPr>
                <w:rFonts w:ascii="仿宋" w:hAnsi="仿宋" w:eastAsia="仿宋"/>
                <w:color w:val="auto"/>
                <w:sz w:val="18"/>
                <w:szCs w:val="18"/>
              </w:rPr>
              <w:t>3</w:t>
            </w:r>
            <w:r>
              <w:rPr>
                <w:rFonts w:hint="eastAsia" w:ascii="仿宋" w:hAnsi="仿宋" w:eastAsia="仿宋"/>
                <w:color w:val="auto"/>
                <w:sz w:val="18"/>
                <w:szCs w:val="18"/>
              </w:rPr>
              <w:t>-4分；</w:t>
            </w:r>
          </w:p>
          <w:p w14:paraId="5FC8F1A6">
            <w:pPr>
              <w:pStyle w:val="230"/>
              <w:snapToGrid w:val="0"/>
              <w:spacing w:line="240" w:lineRule="exact"/>
              <w:ind w:firstLine="0"/>
              <w:rPr>
                <w:rFonts w:hint="eastAsia" w:ascii="仿宋" w:hAnsi="仿宋" w:eastAsia="仿宋" w:cs="仿宋"/>
                <w:snapToGrid w:val="0"/>
                <w:sz w:val="18"/>
                <w:szCs w:val="18"/>
              </w:rPr>
            </w:pPr>
            <w:r>
              <w:rPr>
                <w:rFonts w:hint="eastAsia" w:ascii="仿宋" w:hAnsi="仿宋" w:eastAsia="仿宋"/>
                <w:kern w:val="2"/>
                <w:sz w:val="18"/>
                <w:szCs w:val="18"/>
              </w:rPr>
              <w:t>内容基本完整，项目实施方案在科学、合理、安全性方面一般，措施有待优化，针对性一般，得1-2分；</w:t>
            </w:r>
            <w:r>
              <w:rPr>
                <w:rFonts w:hint="eastAsia" w:ascii="仿宋" w:hAnsi="仿宋" w:eastAsia="仿宋"/>
                <w:sz w:val="18"/>
                <w:szCs w:val="18"/>
              </w:rPr>
              <w:t>没有不得分。</w:t>
            </w:r>
          </w:p>
        </w:tc>
      </w:tr>
      <w:tr w14:paraId="018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jc w:val="center"/>
        </w:trPr>
        <w:tc>
          <w:tcPr>
            <w:tcW w:w="421" w:type="dxa"/>
            <w:shd w:val="clear" w:color="auto" w:fill="auto"/>
            <w:vAlign w:val="center"/>
          </w:tcPr>
          <w:p w14:paraId="73005AFA">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1275" w:type="dxa"/>
            <w:vAlign w:val="center"/>
          </w:tcPr>
          <w:p w14:paraId="6FAF15C3">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2AE2DE3D">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461" w:type="dxa"/>
            <w:vAlign w:val="center"/>
          </w:tcPr>
          <w:p w14:paraId="5C74A280">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根据技术培训方案的完善程度打分：0-2分</w:t>
            </w:r>
          </w:p>
        </w:tc>
      </w:tr>
      <w:tr w14:paraId="76ED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421" w:type="dxa"/>
            <w:shd w:val="clear" w:color="auto" w:fill="auto"/>
            <w:vAlign w:val="center"/>
          </w:tcPr>
          <w:p w14:paraId="48FD0B0F">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8</w:t>
            </w:r>
          </w:p>
        </w:tc>
        <w:tc>
          <w:tcPr>
            <w:tcW w:w="1275" w:type="dxa"/>
            <w:vAlign w:val="center"/>
          </w:tcPr>
          <w:p w14:paraId="2E9E2B8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04F96AC9">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6F825B16">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投标方应在充分理解本项目需求的基础上，针对本项目编制售后服务方案，包括但不限于服务内容、响应时间、人员安排、技术指导、终身服务等。根据投标方情况打分：1-3分</w:t>
            </w:r>
          </w:p>
        </w:tc>
      </w:tr>
    </w:tbl>
    <w:p w14:paraId="6CE8BA84">
      <w:pPr>
        <w:spacing w:line="320" w:lineRule="exact"/>
        <w:rPr>
          <w:rFonts w:hint="eastAsia" w:ascii="仿宋" w:hAnsi="仿宋" w:eastAsia="仿宋"/>
          <w:b/>
          <w:bCs/>
          <w:sz w:val="28"/>
          <w:szCs w:val="28"/>
        </w:rPr>
      </w:pPr>
    </w:p>
    <w:bookmarkEnd w:id="0"/>
    <w:p w14:paraId="67DF5468">
      <w:pPr>
        <w:spacing w:line="460" w:lineRule="exact"/>
        <w:rPr>
          <w:rFonts w:hint="eastAsia" w:ascii="仿宋" w:hAnsi="仿宋" w:eastAsia="仿宋"/>
          <w:b/>
          <w:bCs/>
          <w:sz w:val="28"/>
          <w:szCs w:val="28"/>
        </w:rPr>
      </w:pPr>
      <w:r>
        <w:rPr>
          <w:rFonts w:hint="eastAsia" w:ascii="仿宋" w:hAnsi="仿宋" w:eastAsia="仿宋"/>
          <w:b/>
          <w:bCs/>
          <w:sz w:val="28"/>
          <w:szCs w:val="28"/>
        </w:rPr>
        <w:t>四、授予合同</w:t>
      </w:r>
    </w:p>
    <w:p w14:paraId="7DB5FB2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3、中标人在接到《中标通知书》后10日内，按买方约定的时间、地点与买方签订合同。</w:t>
      </w:r>
    </w:p>
    <w:p w14:paraId="7E3ABA0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hint="eastAsia"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hint="eastAsia"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 质量、环境、职业安全等体系及其质量认证证明、证书；</w:t>
      </w:r>
    </w:p>
    <w:p w14:paraId="13CB9F6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hint="eastAsia"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投标保证金（人民币：壹万元整     </w:t>
      </w:r>
      <w:r>
        <w:rPr>
          <w:rFonts w:hint="eastAsia" w:ascii="仿宋" w:hAnsi="仿宋" w:eastAsia="仿宋" w:cs="仿宋"/>
          <w:sz w:val="28"/>
          <w:szCs w:val="28"/>
        </w:rPr>
        <w:t>￥：100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09ABA2B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日12:00时（北京时间）前到账，投标截止时间之后递交的投标保证金将被拒绝。公对公电汇转账方式缴纳（不接受现金及个人转账）。 最终以</w:t>
      </w:r>
      <w:r>
        <w:rPr>
          <w:rFonts w:hint="eastAsia" w:ascii="仿宋" w:hAnsi="仿宋" w:eastAsia="仿宋"/>
          <w:b w:val="0"/>
          <w:bCs/>
          <w:color w:val="000000" w:themeColor="text1"/>
          <w:sz w:val="28"/>
          <w:szCs w:val="28"/>
          <w14:textFill>
            <w14:solidFill>
              <w14:schemeClr w14:val="tx1"/>
            </w14:solidFill>
          </w14:textFill>
        </w:rPr>
        <w:t>河南万基铝业股份有限公司</w:t>
      </w:r>
      <w:r>
        <w:rPr>
          <w:rFonts w:hint="eastAsia" w:ascii="仿宋" w:hAnsi="仿宋" w:eastAsia="仿宋"/>
          <w:sz w:val="28"/>
          <w:szCs w:val="28"/>
        </w:rPr>
        <w:t>财务所开收到凭证为准。</w:t>
      </w:r>
    </w:p>
    <w:p w14:paraId="188DC7C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招标人指定的投标保证金的接收单位：</w:t>
      </w:r>
    </w:p>
    <w:p w14:paraId="28E81971">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河南万基铝业股份有限公司</w:t>
      </w:r>
    </w:p>
    <w:p w14:paraId="6B24DE6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中国工商银行股份有限公司新安县支行</w:t>
      </w:r>
    </w:p>
    <w:p w14:paraId="00756499">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账    号：</w:t>
      </w:r>
      <w:r>
        <w:rPr>
          <w:rFonts w:hint="eastAsia" w:ascii="仿宋" w:hAnsi="仿宋" w:eastAsia="仿宋"/>
          <w:b/>
          <w:color w:val="FF0000"/>
          <w:sz w:val="28"/>
          <w:szCs w:val="28"/>
        </w:rPr>
        <w:t>1705027609045030205</w:t>
      </w:r>
    </w:p>
    <w:p w14:paraId="748D6A64">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投标人违反纪律与保密的有关规定；</w:t>
      </w:r>
    </w:p>
    <w:p w14:paraId="75EDC00C">
      <w:pPr>
        <w:spacing w:line="460" w:lineRule="exact"/>
        <w:ind w:firstLine="560" w:firstLineChars="200"/>
        <w:rPr>
          <w:rFonts w:hint="eastAsia" w:ascii="仿宋" w:hAnsi="仿宋" w:eastAsia="仿宋"/>
          <w:sz w:val="28"/>
          <w:szCs w:val="24"/>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hint="eastAsia"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581A5B0D">
      <w:pPr>
        <w:spacing w:line="700" w:lineRule="exact"/>
        <w:ind w:firstLine="2520" w:firstLineChars="900"/>
        <w:rPr>
          <w:rFonts w:hint="eastAsia"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0623E4EE">
      <w:pPr>
        <w:spacing w:line="540" w:lineRule="exact"/>
        <w:ind w:firstLine="600" w:firstLineChars="200"/>
        <w:rPr>
          <w:rFonts w:hint="eastAsia" w:ascii="仿宋" w:hAnsi="仿宋" w:eastAsia="仿宋"/>
          <w:sz w:val="30"/>
          <w:szCs w:val="30"/>
        </w:rPr>
      </w:pPr>
    </w:p>
    <w:p w14:paraId="2A1244D2">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为加强招标投标活动中的廉政建设，防止发生违法违纪行为，体现公开、公平、公正的原则，根据国家有关法律、法规和廉政建设责任制的规定，本投标人特作出如下承诺： </w:t>
      </w:r>
    </w:p>
    <w:p w14:paraId="19E6F546">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1、不与招标人、招标代理机构及其他投标人私下串通协商，进行围标、串标、抬标，控制投标价格。  </w:t>
      </w:r>
    </w:p>
    <w:p w14:paraId="4C5C2EC2">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2、不向招标人、招标代理机构、评标专家(小组成员)行贿，以不正当手段谋取中标。 </w:t>
      </w:r>
    </w:p>
    <w:p w14:paraId="077AA863">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3、不向招标投标监管人员请客、送礼及组织其它有可能影响客观公正监管的活动。  </w:t>
      </w:r>
    </w:p>
    <w:p w14:paraId="079AA4A0">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4、自觉遵守开标、评标现场工作纪律，不私下接触评标专家(小组成员)，不干扰正常的开标评标秩序。  </w:t>
      </w:r>
    </w:p>
    <w:p w14:paraId="52AA4C9D">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 xml:space="preserve">5、不给责任人的违法违规行为说情。     </w:t>
      </w:r>
    </w:p>
    <w:p w14:paraId="6A4A0F9B">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如出现上述行为，本投标人自愿承担相关责任，接受招投标监督管理部门、纪检监察部门或司法机关调查处理。</w:t>
      </w:r>
    </w:p>
    <w:p w14:paraId="36458EB7">
      <w:pPr>
        <w:spacing w:line="540" w:lineRule="exact"/>
        <w:rPr>
          <w:rFonts w:hint="eastAsia" w:ascii="仿宋" w:hAnsi="仿宋" w:eastAsia="仿宋"/>
        </w:rPr>
      </w:pPr>
    </w:p>
    <w:p w14:paraId="2580E16B">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投标人：</w:t>
      </w:r>
      <w:r>
        <w:rPr>
          <w:rFonts w:hint="eastAsia" w:ascii="仿宋" w:hAnsi="仿宋" w:eastAsia="仿宋"/>
          <w:sz w:val="30"/>
          <w:szCs w:val="30"/>
          <w:u w:val="single"/>
        </w:rPr>
        <w:t xml:space="preserve">               </w:t>
      </w:r>
      <w:r>
        <w:rPr>
          <w:rFonts w:hint="eastAsia" w:ascii="仿宋" w:hAnsi="仿宋" w:eastAsia="仿宋"/>
          <w:sz w:val="30"/>
          <w:szCs w:val="30"/>
        </w:rPr>
        <w:t>（盖单位章）</w:t>
      </w:r>
    </w:p>
    <w:p w14:paraId="5C547EAA">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法定代表人：         （签字或盖章）</w:t>
      </w:r>
    </w:p>
    <w:p w14:paraId="308C33D3">
      <w:pPr>
        <w:spacing w:line="540" w:lineRule="exact"/>
        <w:ind w:firstLine="3000" w:firstLineChars="1000"/>
        <w:rPr>
          <w:rFonts w:hint="eastAsia"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年  月  日</w:t>
      </w:r>
    </w:p>
    <w:p w14:paraId="0DACE6FE">
      <w:pPr>
        <w:spacing w:line="520" w:lineRule="exact"/>
        <w:rPr>
          <w:rFonts w:hint="eastAsia" w:ascii="仿宋" w:hAnsi="仿宋" w:eastAsia="仿宋"/>
          <w:sz w:val="28"/>
          <w:szCs w:val="24"/>
        </w:rPr>
      </w:pPr>
    </w:p>
    <w:p w14:paraId="088836C3">
      <w:pPr>
        <w:spacing w:line="500" w:lineRule="exact"/>
        <w:rPr>
          <w:rFonts w:hint="eastAsia" w:ascii="仿宋" w:hAnsi="仿宋" w:eastAsia="仿宋"/>
          <w:sz w:val="28"/>
          <w:szCs w:val="28"/>
        </w:rPr>
      </w:pPr>
    </w:p>
    <w:p w14:paraId="15CE181F">
      <w:pPr>
        <w:spacing w:line="500" w:lineRule="exact"/>
        <w:rPr>
          <w:rFonts w:hint="eastAsia" w:ascii="仿宋" w:hAnsi="仿宋" w:eastAsia="仿宋"/>
          <w:sz w:val="28"/>
          <w:szCs w:val="28"/>
        </w:rPr>
      </w:pPr>
    </w:p>
    <w:p w14:paraId="2702453F">
      <w:pPr>
        <w:spacing w:line="500" w:lineRule="exact"/>
        <w:rPr>
          <w:rFonts w:hint="eastAsia" w:ascii="仿宋" w:hAnsi="仿宋" w:eastAsia="仿宋"/>
          <w:sz w:val="28"/>
          <w:szCs w:val="28"/>
        </w:rPr>
      </w:pPr>
    </w:p>
    <w:p w14:paraId="5CAC9DD6">
      <w:pPr>
        <w:spacing w:line="500" w:lineRule="exact"/>
        <w:rPr>
          <w:rFonts w:hint="eastAsia" w:ascii="仿宋" w:hAnsi="仿宋" w:eastAsia="仿宋"/>
          <w:sz w:val="28"/>
          <w:szCs w:val="28"/>
        </w:rPr>
      </w:pPr>
    </w:p>
    <w:p w14:paraId="3E8AC17A">
      <w:pPr>
        <w:spacing w:line="500" w:lineRule="exact"/>
        <w:rPr>
          <w:rFonts w:hint="eastAsia" w:ascii="仿宋" w:hAnsi="仿宋" w:eastAsia="仿宋"/>
          <w:sz w:val="28"/>
          <w:szCs w:val="28"/>
        </w:rPr>
      </w:pPr>
    </w:p>
    <w:p w14:paraId="79DB1FE6">
      <w:pPr>
        <w:spacing w:line="500" w:lineRule="exact"/>
        <w:rPr>
          <w:rFonts w:hint="eastAsia" w:ascii="仿宋" w:hAnsi="仿宋" w:eastAsia="仿宋"/>
          <w:sz w:val="28"/>
          <w:szCs w:val="28"/>
        </w:rPr>
      </w:pPr>
    </w:p>
    <w:p w14:paraId="2E0AD18A">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hint="eastAsia" w:ascii="仿宋" w:hAnsi="仿宋" w:eastAsia="仿宋"/>
          <w:sz w:val="40"/>
          <w:szCs w:val="44"/>
        </w:rPr>
      </w:pPr>
    </w:p>
    <w:p w14:paraId="021B674C">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hint="eastAsia" w:ascii="仿宋" w:hAnsi="仿宋" w:eastAsia="仿宋"/>
          <w:sz w:val="28"/>
          <w:szCs w:val="28"/>
        </w:rPr>
      </w:pPr>
    </w:p>
    <w:p w14:paraId="3AB727A3">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hint="eastAsia" w:ascii="仿宋" w:hAnsi="仿宋" w:eastAsia="仿宋"/>
          <w:sz w:val="28"/>
          <w:szCs w:val="28"/>
        </w:rPr>
      </w:pPr>
    </w:p>
    <w:p w14:paraId="51E2B1F2">
      <w:pPr>
        <w:spacing w:line="500" w:lineRule="exact"/>
        <w:ind w:firstLine="560" w:firstLineChars="200"/>
        <w:rPr>
          <w:rFonts w:hint="eastAsia" w:ascii="仿宋" w:hAnsi="仿宋" w:eastAsia="仿宋"/>
          <w:sz w:val="28"/>
          <w:szCs w:val="28"/>
        </w:rPr>
      </w:pPr>
    </w:p>
    <w:p w14:paraId="447FB1EB">
      <w:pPr>
        <w:spacing w:line="360" w:lineRule="auto"/>
      </w:pPr>
    </w:p>
    <w:p w14:paraId="76A8BEC2">
      <w:pPr>
        <w:pStyle w:val="45"/>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hint="eastAsia" w:ascii="仿宋" w:hAnsi="仿宋" w:eastAsia="仿宋"/>
          <w:color w:val="000000" w:themeColor="text1"/>
          <w:szCs w:val="28"/>
          <w14:textFill>
            <w14:solidFill>
              <w14:schemeClr w14:val="tx1"/>
            </w14:solidFill>
          </w14:textFill>
        </w:rPr>
      </w:pPr>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1"/>
    </w:p>
    <w:p w14:paraId="240D647E">
      <w:pPr>
        <w:pStyle w:val="45"/>
        <w:spacing w:line="240" w:lineRule="exact"/>
        <w:rPr>
          <w:rFonts w:hint="eastAsia" w:ascii="仿宋" w:hAnsi="仿宋" w:eastAsia="仿宋" w:cs="仿宋_GB2312"/>
          <w:snapToGrid/>
          <w:color w:val="000000" w:themeColor="text1"/>
          <w:szCs w:val="28"/>
          <w14:textFill>
            <w14:solidFill>
              <w14:schemeClr w14:val="tx1"/>
            </w14:solidFill>
          </w14:textFill>
        </w:rPr>
      </w:pPr>
    </w:p>
    <w:p w14:paraId="198D8C51">
      <w:pPr>
        <w:pStyle w:val="45"/>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p>
    <w:p w14:paraId="664CACE8">
      <w:pPr>
        <w:rPr>
          <w:color w:val="000000" w:themeColor="text1"/>
          <w14:textFill>
            <w14:solidFill>
              <w14:schemeClr w14:val="tx1"/>
            </w14:solidFill>
          </w14:textFill>
        </w:rPr>
      </w:pPr>
    </w:p>
    <w:p w14:paraId="269223F0">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hint="eastAsia" w:ascii="仿宋" w:hAnsi="仿宋" w:eastAsia="仿宋"/>
          <w:color w:val="000000" w:themeColor="text1"/>
          <w:sz w:val="32"/>
          <w:szCs w:val="32"/>
          <w14:textFill>
            <w14:solidFill>
              <w14:schemeClr w14:val="tx1"/>
            </w14:solidFill>
          </w14:textFill>
        </w:rPr>
      </w:pPr>
    </w:p>
    <w:p w14:paraId="47F25C4F">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hint="eastAsia" w:ascii="仿宋" w:hAnsi="仿宋" w:eastAsia="仿宋"/>
          <w:sz w:val="28"/>
          <w:szCs w:val="24"/>
        </w:rPr>
      </w:pPr>
    </w:p>
    <w:p w14:paraId="6BB8C2CF">
      <w:pPr>
        <w:spacing w:line="700" w:lineRule="exact"/>
        <w:rPr>
          <w:rFonts w:hint="eastAsia" w:ascii="仿宋" w:hAnsi="仿宋" w:eastAsia="仿宋"/>
          <w:sz w:val="28"/>
          <w:szCs w:val="24"/>
        </w:rPr>
      </w:pPr>
    </w:p>
    <w:p w14:paraId="3688B7DC">
      <w:pPr>
        <w:spacing w:line="700" w:lineRule="exact"/>
        <w:rPr>
          <w:rFonts w:hint="eastAsia" w:ascii="仿宋" w:hAnsi="仿宋" w:eastAsia="仿宋"/>
          <w:sz w:val="28"/>
          <w:szCs w:val="24"/>
        </w:rPr>
      </w:pPr>
    </w:p>
    <w:p w14:paraId="4DEFCE52">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hint="eastAsia" w:ascii="仿宋" w:hAnsi="仿宋" w:eastAsia="仿宋"/>
          <w:b/>
          <w:sz w:val="44"/>
          <w:szCs w:val="44"/>
        </w:rPr>
      </w:pPr>
    </w:p>
    <w:p w14:paraId="03CB02C6">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hint="eastAsia" w:ascii="仿宋" w:hAnsi="仿宋" w:eastAsia="仿宋"/>
          <w:sz w:val="28"/>
        </w:rPr>
      </w:pPr>
    </w:p>
    <w:p w14:paraId="1C2BDFF3">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hint="eastAsia" w:ascii="仿宋" w:hAnsi="仿宋" w:eastAsia="仿宋"/>
          <w:sz w:val="32"/>
          <w:szCs w:val="32"/>
        </w:rPr>
      </w:pPr>
    </w:p>
    <w:p w14:paraId="7CC12DA3">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p>
    <w:p w14:paraId="0537109E">
      <w:pPr>
        <w:rPr>
          <w:rFonts w:hint="eastAsia"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38822300">
      <w:pPr>
        <w:spacing w:line="360" w:lineRule="auto"/>
      </w:pPr>
    </w:p>
    <w:p w14:paraId="2A959A30">
      <w:pPr>
        <w:spacing w:line="500" w:lineRule="exact"/>
        <w:rPr>
          <w:rFonts w:ascii="仿宋" w:hAnsi="仿宋" w:eastAsia="仿宋"/>
          <w:sz w:val="28"/>
          <w:szCs w:val="24"/>
        </w:rPr>
      </w:pPr>
    </w:p>
    <w:p w14:paraId="30C7F9E2">
      <w:pPr>
        <w:spacing w:line="500" w:lineRule="exact"/>
        <w:rPr>
          <w:rFonts w:ascii="仿宋" w:hAnsi="仿宋" w:eastAsia="仿宋"/>
          <w:sz w:val="28"/>
          <w:szCs w:val="24"/>
        </w:rPr>
      </w:pPr>
    </w:p>
    <w:p w14:paraId="1FCC3B01">
      <w:pPr>
        <w:spacing w:line="500" w:lineRule="exact"/>
        <w:rPr>
          <w:rFonts w:ascii="仿宋" w:hAnsi="仿宋" w:eastAsia="仿宋"/>
          <w:sz w:val="28"/>
          <w:szCs w:val="24"/>
        </w:rPr>
      </w:pPr>
    </w:p>
    <w:p w14:paraId="3A9A6A0B">
      <w:pPr>
        <w:spacing w:line="500" w:lineRule="exact"/>
        <w:rPr>
          <w:rFonts w:ascii="仿宋" w:hAnsi="仿宋" w:eastAsia="仿宋"/>
          <w:sz w:val="28"/>
          <w:szCs w:val="24"/>
        </w:rPr>
      </w:pPr>
    </w:p>
    <w:p w14:paraId="0854F5A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河南</w:t>
      </w:r>
      <w:r>
        <w:rPr>
          <w:rFonts w:hint="eastAsia" w:ascii="仿宋" w:hAnsi="仿宋" w:eastAsia="仿宋" w:cs="Times New Roman"/>
          <w:b/>
          <w:bCs/>
          <w:color w:val="auto"/>
          <w:sz w:val="44"/>
          <w:szCs w:val="44"/>
          <w:lang w:val="en-US" w:eastAsia="zh-CN"/>
        </w:rPr>
        <w:fldChar w:fldCharType="begin"/>
      </w:r>
      <w:r>
        <w:rPr>
          <w:rFonts w:hint="eastAsia" w:ascii="仿宋" w:hAnsi="仿宋" w:eastAsia="仿宋" w:cs="Times New Roman"/>
          <w:b/>
          <w:bCs/>
          <w:color w:val="auto"/>
          <w:sz w:val="44"/>
          <w:szCs w:val="44"/>
          <w:lang w:val="en-US" w:eastAsia="zh-CN"/>
        </w:rPr>
        <w:instrText xml:space="preserve"> HYPERLINK "https://map.360.cn/?pid=be2e8c3f3446e977&amp;src=onebox" \t "https://www.so.com/_blank" </w:instrText>
      </w:r>
      <w:r>
        <w:rPr>
          <w:rFonts w:hint="eastAsia" w:ascii="仿宋" w:hAnsi="仿宋" w:eastAsia="仿宋" w:cs="Times New Roman"/>
          <w:b/>
          <w:bCs/>
          <w:color w:val="auto"/>
          <w:sz w:val="44"/>
          <w:szCs w:val="44"/>
          <w:lang w:val="en-US" w:eastAsia="zh-CN"/>
        </w:rPr>
        <w:fldChar w:fldCharType="separate"/>
      </w:r>
      <w:r>
        <w:rPr>
          <w:rFonts w:hint="default" w:ascii="仿宋" w:hAnsi="仿宋" w:eastAsia="仿宋" w:cs="Times New Roman"/>
          <w:b/>
          <w:bCs/>
          <w:color w:val="auto"/>
          <w:sz w:val="44"/>
          <w:szCs w:val="44"/>
          <w:lang w:val="en-US" w:eastAsia="zh-CN"/>
        </w:rPr>
        <w:t>万基</w:t>
      </w:r>
      <w:r>
        <w:rPr>
          <w:rFonts w:hint="eastAsia" w:ascii="仿宋" w:hAnsi="仿宋" w:eastAsia="仿宋" w:cs="Times New Roman"/>
          <w:b/>
          <w:bCs/>
          <w:color w:val="auto"/>
          <w:sz w:val="44"/>
          <w:szCs w:val="44"/>
          <w:lang w:val="en-US" w:eastAsia="zh-CN"/>
        </w:rPr>
        <w:t>铝业股份</w:t>
      </w:r>
      <w:r>
        <w:rPr>
          <w:rFonts w:hint="default" w:ascii="仿宋" w:hAnsi="仿宋" w:eastAsia="仿宋" w:cs="Times New Roman"/>
          <w:b/>
          <w:bCs/>
          <w:color w:val="auto"/>
          <w:sz w:val="44"/>
          <w:szCs w:val="44"/>
          <w:lang w:val="en-US" w:eastAsia="zh-CN"/>
        </w:rPr>
        <w:t>有限公司</w:t>
      </w:r>
      <w:r>
        <w:rPr>
          <w:rFonts w:hint="default" w:ascii="仿宋" w:hAnsi="仿宋" w:eastAsia="仿宋" w:cs="Times New Roman"/>
          <w:b/>
          <w:bCs/>
          <w:color w:val="auto"/>
          <w:sz w:val="44"/>
          <w:szCs w:val="44"/>
          <w:lang w:val="en-US" w:eastAsia="zh-CN"/>
        </w:rPr>
        <w:fldChar w:fldCharType="end"/>
      </w:r>
      <w:r>
        <w:rPr>
          <w:rFonts w:hint="eastAsia" w:ascii="仿宋" w:hAnsi="仿宋" w:eastAsia="仿宋" w:cs="Times New Roman"/>
          <w:b/>
          <w:bCs/>
          <w:color w:val="auto"/>
          <w:sz w:val="44"/>
          <w:szCs w:val="44"/>
          <w:lang w:val="en-US" w:eastAsia="zh-CN"/>
        </w:rPr>
        <w:t>（二分厂）超低排放烟气连续检测系统采购（CEMS）项目投标报价单</w:t>
      </w:r>
    </w:p>
    <w:p w14:paraId="6DC045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0"/>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07"/>
        <w:gridCol w:w="1829"/>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807"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829"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807" w:type="dxa"/>
            <w:noWrap w:val="0"/>
            <w:vAlign w:val="center"/>
          </w:tcPr>
          <w:p w14:paraId="46FC18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ascii="仿宋" w:hAnsi="仿宋" w:eastAsia="仿宋"/>
                <w:sz w:val="24"/>
                <w:szCs w:val="24"/>
              </w:rPr>
              <w:t>监测项目：SO₂、NOx、O₂、烟尘浓度、温度、压力、烟气流量、湿度</w:t>
            </w:r>
          </w:p>
        </w:tc>
        <w:tc>
          <w:tcPr>
            <w:tcW w:w="1829"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5BF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41CBA79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807" w:type="dxa"/>
            <w:noWrap w:val="0"/>
            <w:vAlign w:val="center"/>
          </w:tcPr>
          <w:p w14:paraId="03BAB6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ascii="仿宋" w:hAnsi="仿宋" w:eastAsia="仿宋"/>
                <w:sz w:val="24"/>
                <w:szCs w:val="24"/>
              </w:rPr>
              <w:t>监测项目：SO₂、O₂、烟尘浓度、温度、压力、烟气流量、湿度</w:t>
            </w:r>
          </w:p>
        </w:tc>
        <w:tc>
          <w:tcPr>
            <w:tcW w:w="1829" w:type="dxa"/>
            <w:noWrap w:val="0"/>
            <w:vAlign w:val="center"/>
          </w:tcPr>
          <w:p w14:paraId="632F7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3601A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7110F6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253" w:type="dxa"/>
            <w:noWrap w:val="0"/>
            <w:vAlign w:val="center"/>
          </w:tcPr>
          <w:p w14:paraId="0BEE4E5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409FC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764691D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575"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6008"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bookmarkStart w:id="148" w:name="_GoBack"/>
      <w:bookmarkEnd w:id="148"/>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不超过55天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77B06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使用验收合格，开具发票验收入账后90个工作日内付款90%；剩余合同总价的10%为质保金，质保期满没有任何质量问题时付清。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2431B3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2</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10</w:t>
      </w:r>
      <w:r>
        <w:rPr>
          <w:rFonts w:hint="eastAsia" w:ascii="仿宋" w:hAnsi="仿宋" w:eastAsia="仿宋"/>
          <w:b w:val="0"/>
          <w:bCs w:val="0"/>
          <w:color w:val="auto"/>
          <w:sz w:val="30"/>
          <w:szCs w:val="30"/>
        </w:rPr>
        <w:t>日</w:t>
      </w:r>
    </w:p>
    <w:p w14:paraId="422E539B">
      <w:pPr>
        <w:spacing w:line="500" w:lineRule="exact"/>
        <w:rPr>
          <w:rFonts w:ascii="仿宋" w:hAnsi="仿宋" w:eastAsia="仿宋"/>
          <w:sz w:val="28"/>
          <w:szCs w:val="24"/>
        </w:rPr>
      </w:pPr>
    </w:p>
    <w:p w14:paraId="2D299EAE">
      <w:pPr>
        <w:spacing w:line="500" w:lineRule="exact"/>
        <w:rPr>
          <w:rFonts w:ascii="仿宋" w:hAnsi="仿宋" w:eastAsia="仿宋"/>
          <w:sz w:val="28"/>
          <w:szCs w:val="24"/>
        </w:rPr>
      </w:pPr>
    </w:p>
    <w:p w14:paraId="4BAC2555">
      <w:pPr>
        <w:spacing w:line="500" w:lineRule="exact"/>
        <w:rPr>
          <w:rFonts w:ascii="仿宋" w:hAnsi="仿宋" w:eastAsia="仿宋"/>
          <w:sz w:val="28"/>
          <w:szCs w:val="24"/>
        </w:rPr>
      </w:pPr>
    </w:p>
    <w:p w14:paraId="7540C028">
      <w:pPr>
        <w:spacing w:line="500" w:lineRule="exact"/>
        <w:rPr>
          <w:rFonts w:hint="eastAsia" w:ascii="仿宋" w:hAnsi="仿宋" w:eastAsia="仿宋"/>
          <w:sz w:val="28"/>
          <w:szCs w:val="24"/>
        </w:rPr>
      </w:pPr>
    </w:p>
    <w:p w14:paraId="6532A007">
      <w:pPr>
        <w:spacing w:line="500" w:lineRule="exact"/>
        <w:rPr>
          <w:rFonts w:hint="eastAsia" w:ascii="仿宋_GB2312" w:hAnsi="宋体" w:eastAsia="仿宋"/>
          <w:sz w:val="30"/>
          <w:szCs w:val="30"/>
        </w:rPr>
      </w:pPr>
      <w:r>
        <w:rPr>
          <w:rFonts w:hint="eastAsia" w:ascii="仿宋" w:hAnsi="仿宋" w:eastAsia="仿宋"/>
          <w:sz w:val="28"/>
          <w:szCs w:val="24"/>
        </w:rPr>
        <w:t>附件6、</w:t>
      </w:r>
      <w:r>
        <w:rPr>
          <w:rFonts w:hint="eastAsia" w:ascii="仿宋" w:hAnsi="仿宋" w:eastAsia="仿宋"/>
          <w:sz w:val="28"/>
          <w:szCs w:val="28"/>
        </w:rPr>
        <w:t>参考合同条款（具体以签订合同为准）</w:t>
      </w:r>
    </w:p>
    <w:p w14:paraId="62322075">
      <w:pPr>
        <w:widowControl/>
        <w:adjustRightInd w:val="0"/>
        <w:snapToGrid w:val="0"/>
        <w:spacing w:after="200" w:line="360" w:lineRule="auto"/>
        <w:jc w:val="center"/>
        <w:rPr>
          <w:rFonts w:hint="eastAsia" w:ascii="黑体" w:hAnsi="黑体" w:eastAsia="黑体" w:cs="仿宋"/>
          <w:b/>
          <w:kern w:val="0"/>
          <w:sz w:val="52"/>
          <w:szCs w:val="52"/>
        </w:rPr>
      </w:pPr>
      <w:r>
        <w:rPr>
          <w:rFonts w:hint="eastAsia" w:ascii="黑体" w:hAnsi="黑体" w:eastAsia="黑体" w:cs="仿宋"/>
          <w:b/>
          <w:kern w:val="0"/>
          <w:sz w:val="52"/>
          <w:szCs w:val="52"/>
        </w:rPr>
        <w:t>*********有限公司</w:t>
      </w:r>
    </w:p>
    <w:p w14:paraId="38140245">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w:t>
      </w:r>
    </w:p>
    <w:p w14:paraId="72A7DBC4">
      <w:pPr>
        <w:spacing w:line="360" w:lineRule="auto"/>
        <w:jc w:val="center"/>
        <w:rPr>
          <w:rFonts w:hint="eastAsia" w:ascii="黑体" w:hAnsi="黑体" w:eastAsia="黑体"/>
          <w:sz w:val="44"/>
          <w:szCs w:val="44"/>
        </w:rPr>
      </w:pPr>
      <w:r>
        <w:rPr>
          <w:rFonts w:hint="eastAsia" w:ascii="黑体" w:hAnsi="黑体" w:eastAsia="黑体"/>
          <w:sz w:val="44"/>
          <w:szCs w:val="44"/>
        </w:rPr>
        <w:t>商务合同</w:t>
      </w:r>
    </w:p>
    <w:p w14:paraId="2CA6F214">
      <w:pPr>
        <w:spacing w:line="360" w:lineRule="auto"/>
        <w:ind w:firstLine="560" w:firstLineChars="200"/>
        <w:jc w:val="center"/>
        <w:rPr>
          <w:rFonts w:hint="eastAsia" w:asciiTheme="minorEastAsia" w:hAnsiTheme="minorEastAsia"/>
          <w:sz w:val="28"/>
          <w:szCs w:val="28"/>
        </w:rPr>
      </w:pPr>
    </w:p>
    <w:p w14:paraId="1BA1B71E">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（仅供参考）具体以签订合同为准</w:t>
      </w:r>
    </w:p>
    <w:p w14:paraId="25FAC92D">
      <w:pPr>
        <w:spacing w:line="360" w:lineRule="auto"/>
        <w:ind w:firstLine="560" w:firstLineChars="200"/>
        <w:jc w:val="center"/>
        <w:rPr>
          <w:rFonts w:hint="eastAsia" w:asciiTheme="minorEastAsia" w:hAnsiTheme="minorEastAsia"/>
          <w:sz w:val="28"/>
          <w:szCs w:val="28"/>
        </w:rPr>
      </w:pPr>
    </w:p>
    <w:p w14:paraId="21047D92">
      <w:pPr>
        <w:spacing w:line="360" w:lineRule="auto"/>
        <w:ind w:firstLine="560" w:firstLineChars="200"/>
        <w:jc w:val="center"/>
        <w:rPr>
          <w:rFonts w:hint="eastAsia" w:asciiTheme="minorEastAsia" w:hAnsiTheme="minorEastAsia"/>
          <w:sz w:val="28"/>
          <w:szCs w:val="28"/>
        </w:rPr>
      </w:pPr>
    </w:p>
    <w:p w14:paraId="445202AF">
      <w:pPr>
        <w:spacing w:line="360" w:lineRule="auto"/>
        <w:ind w:firstLine="560" w:firstLineChars="200"/>
        <w:jc w:val="center"/>
        <w:rPr>
          <w:rFonts w:hint="eastAsia" w:asciiTheme="minorEastAsia" w:hAnsiTheme="minorEastAsia"/>
          <w:sz w:val="28"/>
          <w:szCs w:val="28"/>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5387"/>
      </w:tblGrid>
      <w:tr w14:paraId="413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79" w:type="dxa"/>
            <w:vAlign w:val="bottom"/>
          </w:tcPr>
          <w:p w14:paraId="193DD9B4">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项目名称</w:t>
            </w:r>
          </w:p>
        </w:tc>
        <w:tc>
          <w:tcPr>
            <w:tcW w:w="5387" w:type="dxa"/>
            <w:vAlign w:val="bottom"/>
          </w:tcPr>
          <w:p w14:paraId="74D597F8">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项目</w:t>
            </w:r>
          </w:p>
        </w:tc>
      </w:tr>
      <w:tr w14:paraId="7642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001E7001">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2ABB80A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r>
      <w:tr w14:paraId="4BD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666BAF84">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4C39432E">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乙</w:t>
            </w:r>
            <w:r>
              <w:rPr>
                <w:rFonts w:ascii="Arial" w:hAnsi="Arial" w:eastAsia="黑体" w:cs="Arial"/>
                <w:bCs/>
                <w:kern w:val="0"/>
                <w:sz w:val="28"/>
                <w:szCs w:val="28"/>
                <w:lang w:val="en-GB"/>
              </w:rPr>
              <w:t>方）</w:t>
            </w:r>
          </w:p>
        </w:tc>
      </w:tr>
      <w:tr w14:paraId="5EC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79FD4A44">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c>
          <w:tcPr>
            <w:tcW w:w="5387" w:type="dxa"/>
            <w:vAlign w:val="bottom"/>
          </w:tcPr>
          <w:p w14:paraId="0517028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有限公司</w:t>
            </w:r>
          </w:p>
        </w:tc>
      </w:tr>
      <w:tr w14:paraId="762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2AC316FA">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乙方</w:t>
            </w:r>
          </w:p>
        </w:tc>
        <w:tc>
          <w:tcPr>
            <w:tcW w:w="5387" w:type="dxa"/>
            <w:vAlign w:val="bottom"/>
          </w:tcPr>
          <w:p w14:paraId="19553DBA">
            <w:pPr>
              <w:widowControl/>
              <w:adjustRightInd w:val="0"/>
              <w:snapToGrid w:val="0"/>
              <w:spacing w:line="240" w:lineRule="atLeast"/>
              <w:rPr>
                <w:rFonts w:ascii="Arial" w:hAnsi="Arial" w:eastAsia="黑体" w:cs="Arial"/>
                <w:bCs/>
                <w:kern w:val="0"/>
                <w:sz w:val="28"/>
                <w:szCs w:val="28"/>
              </w:rPr>
            </w:pPr>
          </w:p>
        </w:tc>
      </w:tr>
      <w:tr w14:paraId="494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7CF9946">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签订时间</w:t>
            </w:r>
          </w:p>
        </w:tc>
        <w:tc>
          <w:tcPr>
            <w:tcW w:w="5387" w:type="dxa"/>
            <w:vAlign w:val="bottom"/>
          </w:tcPr>
          <w:p w14:paraId="5237FF26">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202</w:t>
            </w:r>
            <w:r>
              <w:rPr>
                <w:rFonts w:hint="eastAsia" w:ascii="Arial" w:hAnsi="Arial" w:eastAsia="黑体" w:cs="Arial"/>
                <w:bCs/>
                <w:kern w:val="0"/>
                <w:sz w:val="28"/>
                <w:szCs w:val="28"/>
                <w:lang w:val="en-US" w:eastAsia="zh-CN"/>
              </w:rPr>
              <w:t>6</w:t>
            </w:r>
            <w:r>
              <w:rPr>
                <w:rFonts w:ascii="Arial" w:hAnsi="Arial" w:eastAsia="黑体" w:cs="Arial"/>
                <w:bCs/>
                <w:kern w:val="0"/>
                <w:sz w:val="28"/>
                <w:szCs w:val="28"/>
                <w:lang w:val="en-GB"/>
              </w:rPr>
              <w:t>年</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月</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日</w:t>
            </w:r>
          </w:p>
        </w:tc>
      </w:tr>
      <w:tr w14:paraId="697F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AF73C7F">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签订地点</w:t>
            </w:r>
          </w:p>
        </w:tc>
        <w:tc>
          <w:tcPr>
            <w:tcW w:w="5387" w:type="dxa"/>
            <w:vAlign w:val="bottom"/>
          </w:tcPr>
          <w:p w14:paraId="59D8B40B">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河南省.洛阳市.新安县</w:t>
            </w:r>
          </w:p>
        </w:tc>
      </w:tr>
    </w:tbl>
    <w:p w14:paraId="6D34394E">
      <w:pPr>
        <w:spacing w:line="360" w:lineRule="auto"/>
        <w:ind w:firstLine="560" w:firstLineChars="200"/>
        <w:jc w:val="center"/>
        <w:rPr>
          <w:rFonts w:hint="eastAsia" w:asciiTheme="minorEastAsia" w:hAnsiTheme="minorEastAsia"/>
          <w:sz w:val="28"/>
          <w:szCs w:val="28"/>
        </w:rPr>
      </w:pPr>
    </w:p>
    <w:p w14:paraId="078751E9">
      <w:pPr>
        <w:spacing w:line="360" w:lineRule="auto"/>
        <w:ind w:firstLine="560" w:firstLineChars="200"/>
        <w:jc w:val="center"/>
        <w:rPr>
          <w:rFonts w:hint="eastAsia" w:asciiTheme="minorEastAsia" w:hAnsiTheme="minorEastAsia"/>
          <w:sz w:val="28"/>
          <w:szCs w:val="28"/>
        </w:rPr>
      </w:pPr>
    </w:p>
    <w:p w14:paraId="6D5E12C3">
      <w:pPr>
        <w:spacing w:line="360" w:lineRule="auto"/>
        <w:ind w:firstLine="560" w:firstLineChars="200"/>
        <w:jc w:val="center"/>
        <w:rPr>
          <w:rFonts w:hint="eastAsia" w:asciiTheme="minorEastAsia" w:hAnsiTheme="minorEastAsia"/>
          <w:sz w:val="28"/>
          <w:szCs w:val="28"/>
        </w:rPr>
      </w:pPr>
    </w:p>
    <w:p w14:paraId="4D02A8BE">
      <w:pPr>
        <w:spacing w:line="360" w:lineRule="auto"/>
        <w:ind w:firstLine="560" w:firstLineChars="200"/>
        <w:jc w:val="center"/>
        <w:rPr>
          <w:rFonts w:hint="eastAsia" w:asciiTheme="minorEastAsia" w:hAnsiTheme="minorEastAsia"/>
          <w:sz w:val="28"/>
          <w:szCs w:val="28"/>
        </w:rPr>
      </w:pPr>
    </w:p>
    <w:p w14:paraId="7A105C0F">
      <w:pPr>
        <w:spacing w:line="360" w:lineRule="auto"/>
        <w:ind w:firstLine="560" w:firstLineChars="200"/>
        <w:jc w:val="center"/>
        <w:rPr>
          <w:rFonts w:hint="eastAsia" w:asciiTheme="minorEastAsia" w:hAnsiTheme="minorEastAsia"/>
          <w:sz w:val="28"/>
          <w:szCs w:val="28"/>
        </w:rPr>
      </w:pPr>
    </w:p>
    <w:p w14:paraId="60A89FE3">
      <w:pPr>
        <w:spacing w:line="360" w:lineRule="auto"/>
        <w:ind w:firstLine="560" w:firstLineChars="200"/>
        <w:jc w:val="center"/>
        <w:rPr>
          <w:rFonts w:hint="eastAsia" w:asciiTheme="minorEastAsia" w:hAnsiTheme="minorEastAsia"/>
          <w:sz w:val="28"/>
          <w:szCs w:val="28"/>
        </w:rPr>
      </w:pPr>
    </w:p>
    <w:p w14:paraId="400AABCB">
      <w:pPr>
        <w:spacing w:line="360" w:lineRule="auto"/>
        <w:ind w:firstLine="560" w:firstLineChars="200"/>
        <w:jc w:val="center"/>
        <w:rPr>
          <w:rFonts w:hint="eastAsia" w:asciiTheme="minorEastAsia" w:hAnsiTheme="minorEastAsia"/>
          <w:sz w:val="28"/>
          <w:szCs w:val="28"/>
        </w:rPr>
      </w:pPr>
    </w:p>
    <w:p w14:paraId="746D6CE6">
      <w:pPr>
        <w:widowControl/>
        <w:snapToGrid w:val="0"/>
        <w:spacing w:line="240" w:lineRule="atLeast"/>
        <w:ind w:firstLine="480" w:firstLineChars="200"/>
        <w:contextualSpacing/>
        <w:rPr>
          <w:rFonts w:hint="eastAsia" w:ascii="仿宋" w:hAnsi="仿宋" w:eastAsia="仿宋"/>
          <w:sz w:val="24"/>
          <w:szCs w:val="24"/>
        </w:rPr>
      </w:pPr>
      <w:r>
        <w:rPr>
          <w:rFonts w:hint="eastAsia" w:ascii="仿宋" w:hAnsi="仿宋" w:eastAsia="仿宋"/>
          <w:sz w:val="24"/>
          <w:szCs w:val="24"/>
        </w:rPr>
        <w:t>甲方**************有限公司在***********购买等相关事宜，</w:t>
      </w:r>
      <w:r>
        <w:rPr>
          <w:rFonts w:ascii="Arial" w:hAnsi="Arial" w:eastAsia="仿宋" w:cs="Arial"/>
          <w:sz w:val="24"/>
          <w:szCs w:val="24"/>
        </w:rPr>
        <w:t>依据万基编号为WJWZ-(202</w:t>
      </w:r>
      <w:r>
        <w:rPr>
          <w:rFonts w:hint="eastAsia" w:ascii="Arial" w:hAnsi="Arial" w:eastAsia="仿宋" w:cs="Arial"/>
          <w:sz w:val="24"/>
          <w:szCs w:val="24"/>
          <w:lang w:val="en-US" w:eastAsia="zh-CN"/>
        </w:rPr>
        <w:t>6</w:t>
      </w:r>
      <w:r>
        <w:rPr>
          <w:rFonts w:ascii="Arial" w:hAnsi="Arial" w:eastAsia="仿宋" w:cs="Arial"/>
          <w:sz w:val="24"/>
          <w:szCs w:val="24"/>
        </w:rPr>
        <w:t>)</w:t>
      </w:r>
      <w:r>
        <w:rPr>
          <w:rFonts w:hint="eastAsia" w:ascii="Arial" w:hAnsi="Arial" w:eastAsia="仿宋" w:cs="Arial"/>
          <w:sz w:val="24"/>
          <w:szCs w:val="24"/>
          <w:u w:val="single"/>
        </w:rPr>
        <w:t xml:space="preserve">    </w:t>
      </w:r>
      <w:r>
        <w:rPr>
          <w:rFonts w:ascii="Arial" w:hAnsi="Arial" w:eastAsia="仿宋" w:cs="Arial"/>
          <w:sz w:val="24"/>
          <w:szCs w:val="24"/>
        </w:rPr>
        <w:t>的中标通知书</w:t>
      </w:r>
      <w:r>
        <w:rPr>
          <w:rFonts w:hint="eastAsia" w:ascii="仿宋" w:hAnsi="仿宋" w:eastAsia="仿宋"/>
          <w:sz w:val="24"/>
          <w:szCs w:val="24"/>
        </w:rPr>
        <w:t xml:space="preserve">，买卖双方本着平等互利的原则，经友好协商，同意按如下条款签订本合同。  </w:t>
      </w:r>
    </w:p>
    <w:p w14:paraId="24F7B1D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D6D2E96">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条款1定义</w:t>
      </w:r>
    </w:p>
    <w:p w14:paraId="70A108E8">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“合同”指甲方和乙方（以下简称合同双方）已达成的协议，即由双方签订的合同中的文件，包括技术协议、所有的附件、附录和组成合同部分的所有其它文件。</w:t>
      </w:r>
    </w:p>
    <w:p w14:paraId="6CDF9301">
      <w:pPr>
        <w:pStyle w:val="76"/>
        <w:numPr>
          <w:ilvl w:val="0"/>
          <w:numId w:val="2"/>
        </w:numPr>
        <w:snapToGrid w:val="0"/>
        <w:spacing w:line="240" w:lineRule="atLeast"/>
        <w:ind w:left="567" w:hanging="567" w:firstLineChars="0"/>
        <w:contextualSpacing/>
        <w:jc w:val="left"/>
        <w:rPr>
          <w:rFonts w:hint="eastAsia" w:ascii="仿宋" w:hAnsi="仿宋" w:eastAsia="仿宋"/>
          <w:sz w:val="24"/>
          <w:szCs w:val="24"/>
        </w:rPr>
      </w:pPr>
      <w:r>
        <w:rPr>
          <w:rFonts w:hint="eastAsia" w:ascii="仿宋" w:hAnsi="仿宋" w:eastAsia="仿宋"/>
          <w:sz w:val="24"/>
          <w:szCs w:val="24"/>
        </w:rPr>
        <w:t>“合同价格”指合同规定，在乙方全面正确的履行合同义务时甲方应支付给乙方的款项。</w:t>
      </w:r>
    </w:p>
    <w:p w14:paraId="58178EC3">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“设备”指乙方按合同要求，须向甲方提供的一切设备、机械、手册及其它技术资料和其它材料。</w:t>
      </w:r>
    </w:p>
    <w:p w14:paraId="1ACCC35B">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“服务”指合同规定乙方须承担的安装、调试、技术协助、校准、培训以及其它类似的售后服务义务。</w:t>
      </w:r>
    </w:p>
    <w:p w14:paraId="3C6F3ED8">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“现场”指将要进行设备安装和运转的地点，即：**********。</w:t>
      </w:r>
    </w:p>
    <w:p w14:paraId="12CAB492">
      <w:pPr>
        <w:pStyle w:val="76"/>
        <w:numPr>
          <w:ilvl w:val="0"/>
          <w:numId w:val="2"/>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“验收”指甲方依据合同所附技术协议的规定接受合同设备所依据的程序和条件。</w:t>
      </w:r>
    </w:p>
    <w:p w14:paraId="057DFF3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DB3861D">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条款2供货范围</w:t>
      </w:r>
    </w:p>
    <w:p w14:paraId="7B2CF0C8">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标的物：**************。</w:t>
      </w:r>
    </w:p>
    <w:p w14:paraId="061E183A">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供货范围：详见技术协议。</w:t>
      </w:r>
    </w:p>
    <w:p w14:paraId="4B942E61">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数量：详见技术协议。</w:t>
      </w:r>
    </w:p>
    <w:p w14:paraId="0EC419C1">
      <w:pPr>
        <w:pStyle w:val="76"/>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供货范围虽然在合同中有表述，但在执行过程中如发现有任何漏项和缺陷，在合同中并未列入而且确实是供货范围内应该有的并且是为了满足合同技术协议对合同设备的性能保证要求所必须的，是国家强制性要求必须的，均应由乙方负责将所缺的设备补上，所发生的费用由乙方负担。</w:t>
      </w:r>
    </w:p>
    <w:p w14:paraId="141CC4C7">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EB5BA9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条款3价格（</w:t>
      </w:r>
      <w:r>
        <w:rPr>
          <w:rFonts w:hint="eastAsia" w:ascii="仿宋" w:hAnsi="仿宋" w:eastAsia="仿宋"/>
          <w:b/>
          <w:color w:val="C00000"/>
          <w:sz w:val="28"/>
          <w:szCs w:val="28"/>
        </w:rPr>
        <w:t>报价格式以后附表为准</w:t>
      </w:r>
      <w:r>
        <w:rPr>
          <w:rFonts w:hint="eastAsia" w:ascii="仿宋" w:hAnsi="仿宋" w:eastAsia="仿宋"/>
          <w:b/>
          <w:sz w:val="24"/>
          <w:szCs w:val="24"/>
        </w:rPr>
        <w:t>）</w:t>
      </w:r>
    </w:p>
    <w:p w14:paraId="0CC42AD2">
      <w:pPr>
        <w:pStyle w:val="76"/>
        <w:numPr>
          <w:ilvl w:val="0"/>
          <w:numId w:val="4"/>
        </w:numPr>
        <w:spacing w:line="240" w:lineRule="atLeast"/>
        <w:ind w:left="567" w:hanging="567" w:firstLineChars="0"/>
        <w:rPr>
          <w:rFonts w:hint="eastAsia" w:asciiTheme="minorEastAsia" w:hAnsiTheme="minorEastAsia"/>
          <w:sz w:val="24"/>
          <w:szCs w:val="24"/>
        </w:rPr>
      </w:pPr>
      <w:r>
        <w:rPr>
          <w:rFonts w:hint="eastAsia" w:ascii="仿宋" w:hAnsi="仿宋" w:eastAsia="仿宋"/>
          <w:sz w:val="24"/>
          <w:szCs w:val="24"/>
        </w:rPr>
        <w:t>设备名称、型号及价格</w:t>
      </w:r>
      <w:r>
        <w:rPr>
          <w:rFonts w:hint="eastAsia" w:asciiTheme="minorEastAsia" w:hAnsiTheme="minorEastAsia"/>
          <w:sz w:val="24"/>
          <w:szCs w:val="24"/>
        </w:rPr>
        <w:t>：</w:t>
      </w:r>
    </w:p>
    <w:tbl>
      <w:tblPr>
        <w:tblStyle w:val="49"/>
        <w:tblW w:w="9027" w:type="dxa"/>
        <w:jc w:val="center"/>
        <w:tblLayout w:type="autofit"/>
        <w:tblCellMar>
          <w:top w:w="0" w:type="dxa"/>
          <w:left w:w="108" w:type="dxa"/>
          <w:bottom w:w="0" w:type="dxa"/>
          <w:right w:w="108" w:type="dxa"/>
        </w:tblCellMar>
      </w:tblPr>
      <w:tblGrid>
        <w:gridCol w:w="835"/>
        <w:gridCol w:w="3129"/>
        <w:gridCol w:w="709"/>
        <w:gridCol w:w="709"/>
        <w:gridCol w:w="1143"/>
        <w:gridCol w:w="1143"/>
        <w:gridCol w:w="1359"/>
      </w:tblGrid>
      <w:tr w14:paraId="368236AE">
        <w:tblPrEx>
          <w:tblCellMar>
            <w:top w:w="0" w:type="dxa"/>
            <w:left w:w="108" w:type="dxa"/>
            <w:bottom w:w="0" w:type="dxa"/>
            <w:right w:w="108" w:type="dxa"/>
          </w:tblCellMar>
        </w:tblPrEx>
        <w:trPr>
          <w:trHeight w:val="416" w:hRule="atLeast"/>
          <w:jc w:val="center"/>
        </w:trPr>
        <w:tc>
          <w:tcPr>
            <w:tcW w:w="902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AB6658">
            <w:pPr>
              <w:widowControl/>
              <w:spacing w:line="240" w:lineRule="atLeast"/>
              <w:contextualSpacing/>
              <w:jc w:val="center"/>
              <w:rPr>
                <w:rFonts w:hint="eastAsia" w:ascii="黑体" w:hAnsi="黑体" w:eastAsia="黑体" w:cs="宋体"/>
                <w:kern w:val="0"/>
                <w:sz w:val="24"/>
                <w:szCs w:val="24"/>
              </w:rPr>
            </w:pPr>
            <w:r>
              <w:rPr>
                <w:rFonts w:hint="eastAsia" w:ascii="黑体" w:hAnsi="黑体" w:eastAsia="黑体" w:cs="宋体"/>
                <w:kern w:val="0"/>
                <w:sz w:val="24"/>
                <w:szCs w:val="24"/>
              </w:rPr>
              <w:t xml:space="preserve">************项价格表  </w:t>
            </w:r>
          </w:p>
        </w:tc>
      </w:tr>
      <w:tr w14:paraId="63F80E18">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center"/>
          </w:tcPr>
          <w:p w14:paraId="3C787C97">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序号</w:t>
            </w:r>
          </w:p>
        </w:tc>
        <w:tc>
          <w:tcPr>
            <w:tcW w:w="3129" w:type="dxa"/>
            <w:tcBorders>
              <w:top w:val="nil"/>
              <w:left w:val="nil"/>
              <w:bottom w:val="single" w:color="auto" w:sz="4" w:space="0"/>
              <w:right w:val="single" w:color="auto" w:sz="4" w:space="0"/>
            </w:tcBorders>
            <w:shd w:val="clear" w:color="auto" w:fill="auto"/>
            <w:noWrap/>
            <w:vAlign w:val="center"/>
          </w:tcPr>
          <w:p w14:paraId="75507C5A">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设备名称</w:t>
            </w:r>
          </w:p>
        </w:tc>
        <w:tc>
          <w:tcPr>
            <w:tcW w:w="709" w:type="dxa"/>
            <w:tcBorders>
              <w:top w:val="nil"/>
              <w:left w:val="nil"/>
              <w:bottom w:val="single" w:color="auto" w:sz="4" w:space="0"/>
              <w:right w:val="single" w:color="auto" w:sz="4" w:space="0"/>
            </w:tcBorders>
            <w:shd w:val="clear" w:color="auto" w:fill="auto"/>
            <w:vAlign w:val="center"/>
          </w:tcPr>
          <w:p w14:paraId="2BBF7E2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数量</w:t>
            </w:r>
          </w:p>
        </w:tc>
        <w:tc>
          <w:tcPr>
            <w:tcW w:w="709" w:type="dxa"/>
            <w:tcBorders>
              <w:top w:val="nil"/>
              <w:left w:val="nil"/>
              <w:bottom w:val="single" w:color="auto" w:sz="4" w:space="0"/>
              <w:right w:val="single" w:color="auto" w:sz="4" w:space="0"/>
            </w:tcBorders>
            <w:shd w:val="clear" w:color="auto" w:fill="auto"/>
            <w:vAlign w:val="center"/>
          </w:tcPr>
          <w:p w14:paraId="6C58A3B8">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单位</w:t>
            </w:r>
          </w:p>
        </w:tc>
        <w:tc>
          <w:tcPr>
            <w:tcW w:w="1143" w:type="dxa"/>
            <w:tcBorders>
              <w:top w:val="nil"/>
              <w:left w:val="nil"/>
              <w:bottom w:val="single" w:color="auto" w:sz="4" w:space="0"/>
              <w:right w:val="single" w:color="auto" w:sz="4" w:space="0"/>
            </w:tcBorders>
            <w:shd w:val="clear" w:color="auto" w:fill="auto"/>
            <w:vAlign w:val="center"/>
          </w:tcPr>
          <w:p w14:paraId="1F8DB119">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143" w:type="dxa"/>
            <w:tcBorders>
              <w:top w:val="nil"/>
              <w:left w:val="nil"/>
              <w:bottom w:val="single" w:color="auto" w:sz="4" w:space="0"/>
              <w:right w:val="single" w:color="auto" w:sz="4" w:space="0"/>
            </w:tcBorders>
            <w:shd w:val="clear" w:color="auto" w:fill="auto"/>
            <w:vAlign w:val="center"/>
          </w:tcPr>
          <w:p w14:paraId="19CFCB40">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总价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359" w:type="dxa"/>
            <w:tcBorders>
              <w:top w:val="nil"/>
              <w:left w:val="nil"/>
              <w:bottom w:val="single" w:color="auto" w:sz="4" w:space="0"/>
              <w:right w:val="single" w:color="auto" w:sz="4" w:space="0"/>
            </w:tcBorders>
            <w:shd w:val="clear" w:color="auto" w:fill="auto"/>
            <w:noWrap/>
            <w:vAlign w:val="center"/>
          </w:tcPr>
          <w:p w14:paraId="53B50E72">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备注</w:t>
            </w:r>
          </w:p>
        </w:tc>
      </w:tr>
      <w:tr w14:paraId="7DB44DA4">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3E419106">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w:t>
            </w:r>
          </w:p>
        </w:tc>
        <w:tc>
          <w:tcPr>
            <w:tcW w:w="3129" w:type="dxa"/>
            <w:tcBorders>
              <w:top w:val="nil"/>
              <w:left w:val="nil"/>
              <w:bottom w:val="single" w:color="auto" w:sz="4" w:space="0"/>
              <w:right w:val="single" w:color="auto" w:sz="4" w:space="0"/>
            </w:tcBorders>
            <w:shd w:val="clear" w:color="auto" w:fill="auto"/>
            <w:noWrap/>
            <w:vAlign w:val="bottom"/>
          </w:tcPr>
          <w:p w14:paraId="74657901">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3E015CB">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6B10574">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002B24F6">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1235A18D">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2E8349D5">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5AED49A">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09139A1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1.1</w:t>
            </w:r>
          </w:p>
        </w:tc>
        <w:tc>
          <w:tcPr>
            <w:tcW w:w="3129" w:type="dxa"/>
            <w:tcBorders>
              <w:top w:val="nil"/>
              <w:left w:val="nil"/>
              <w:bottom w:val="single" w:color="auto" w:sz="4" w:space="0"/>
              <w:right w:val="single" w:color="auto" w:sz="4" w:space="0"/>
            </w:tcBorders>
            <w:shd w:val="clear" w:color="auto" w:fill="auto"/>
            <w:noWrap/>
            <w:vAlign w:val="bottom"/>
          </w:tcPr>
          <w:p w14:paraId="500C4F62">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034E3E51">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6BB9697D">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4310C5DE">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75839DF4">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554F7E58">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38D0267">
        <w:tblPrEx>
          <w:tblCellMar>
            <w:top w:w="0" w:type="dxa"/>
            <w:left w:w="108" w:type="dxa"/>
            <w:bottom w:w="0" w:type="dxa"/>
            <w:right w:w="108" w:type="dxa"/>
          </w:tblCellMar>
        </w:tblPrEx>
        <w:trPr>
          <w:trHeight w:val="30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noWrap/>
            <w:vAlign w:val="bottom"/>
          </w:tcPr>
          <w:p w14:paraId="7F1F0197">
            <w:pPr>
              <w:widowControl/>
              <w:spacing w:line="240" w:lineRule="atLeast"/>
              <w:ind w:firstLine="200" w:firstLineChars="100"/>
              <w:contextualSpacing/>
              <w:jc w:val="left"/>
              <w:rPr>
                <w:rFonts w:hint="eastAsia" w:ascii="黑体" w:hAnsi="黑体" w:eastAsia="黑体" w:cs="宋体"/>
                <w:kern w:val="0"/>
                <w:sz w:val="20"/>
              </w:rPr>
            </w:pPr>
            <w:r>
              <w:rPr>
                <w:rFonts w:hint="eastAsia" w:ascii="黑体" w:hAnsi="黑体" w:eastAsia="黑体" w:cs="宋体"/>
                <w:kern w:val="0"/>
                <w:sz w:val="20"/>
              </w:rPr>
              <w:t>不含税金额：￥：万元       税率：13%       税额：万元</w:t>
            </w:r>
          </w:p>
        </w:tc>
      </w:tr>
      <w:tr w14:paraId="6B40F72E">
        <w:tblPrEx>
          <w:tblCellMar>
            <w:top w:w="0" w:type="dxa"/>
            <w:left w:w="108" w:type="dxa"/>
            <w:bottom w:w="0" w:type="dxa"/>
            <w:right w:w="108" w:type="dxa"/>
          </w:tblCellMar>
        </w:tblPrEx>
        <w:trPr>
          <w:trHeight w:val="24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vAlign w:val="center"/>
          </w:tcPr>
          <w:p w14:paraId="33A20FB2">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合同的总价（大写）为：万元整   　￥：万元</w:t>
            </w:r>
          </w:p>
        </w:tc>
      </w:tr>
    </w:tbl>
    <w:p w14:paraId="36577F8C">
      <w:pPr>
        <w:pStyle w:val="76"/>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价格包括合同设备费（含备品备件、专用工具）、设计费、技术资料费、技术服务费，安装费、调试费、培训费、质保期内的维护保养费、设备的包装费、装车费、卸车费、运输费、运输保险费、各种杂费、税费及与本合同有关的所有费用。</w:t>
      </w:r>
    </w:p>
    <w:p w14:paraId="55C4DD9F">
      <w:pPr>
        <w:pStyle w:val="76"/>
        <w:numPr>
          <w:ilvl w:val="0"/>
          <w:numId w:val="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上述合同价格为乙方将合同设备运输到甲方工地、并安装调试合格交付甲方使用的最终价格，不因任何因素的改变而改变。</w:t>
      </w:r>
    </w:p>
    <w:p w14:paraId="7C770CB4">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C410BAB">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条款4支付</w:t>
      </w:r>
    </w:p>
    <w:p w14:paraId="76C0D3F3">
      <w:pPr>
        <w:pStyle w:val="76"/>
        <w:spacing w:line="240" w:lineRule="atLeast"/>
        <w:ind w:firstLine="0" w:firstLineChars="0"/>
        <w:rPr>
          <w:rFonts w:hint="eastAsia" w:ascii="仿宋" w:hAnsi="仿宋" w:eastAsia="仿宋"/>
          <w:sz w:val="24"/>
          <w:szCs w:val="24"/>
        </w:rPr>
      </w:pPr>
      <w:r>
        <w:rPr>
          <w:rFonts w:hint="eastAsia" w:ascii="仿宋" w:hAnsi="仿宋" w:eastAsia="仿宋"/>
          <w:sz w:val="32"/>
          <w:szCs w:val="32"/>
        </w:rPr>
        <w:t>4、</w:t>
      </w:r>
      <w:r>
        <w:rPr>
          <w:rFonts w:hint="eastAsia" w:ascii="仿宋" w:hAnsi="仿宋" w:eastAsia="仿宋"/>
          <w:sz w:val="24"/>
          <w:szCs w:val="24"/>
        </w:rPr>
        <w:t>付款方式：银行承兑或现汇</w:t>
      </w:r>
    </w:p>
    <w:p w14:paraId="3EAC6FC7">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合同货物全部到达甲方安装现场并经甲方根据技术协议的要求对合同设备的外观，数量，规格型号，及附带的说明书合格证等初步验收合格，由甲方出具到货检验证书。</w:t>
      </w:r>
    </w:p>
    <w:p w14:paraId="64063E33">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乙方向甲方开具合同总价90%的财务收据￥：</w:t>
      </w:r>
      <w:r>
        <w:rPr>
          <w:rFonts w:hint="eastAsia" w:ascii="仿宋" w:hAnsi="仿宋" w:eastAsia="仿宋"/>
          <w:sz w:val="24"/>
          <w:szCs w:val="24"/>
          <w:u w:val="single"/>
        </w:rPr>
        <w:t xml:space="preserve">     </w:t>
      </w:r>
      <w:r>
        <w:rPr>
          <w:rFonts w:hint="eastAsia" w:ascii="仿宋" w:hAnsi="仿宋" w:eastAsia="仿宋"/>
          <w:sz w:val="24"/>
          <w:szCs w:val="24"/>
        </w:rPr>
        <w:t>万元（大写人民币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0788E18D">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各项技术资料，检验合格证书等证件全部移交给甲方。</w:t>
      </w:r>
    </w:p>
    <w:p w14:paraId="18719051">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设备安装调试结束，设备运行正常满一个月，双方办理设备性能考核验收手续，且达到技术协议标准要求，待最终验收合格后由甲方出具验收合格报告。</w:t>
      </w:r>
    </w:p>
    <w:p w14:paraId="3FE30713">
      <w:pPr>
        <w:pStyle w:val="76"/>
        <w:numPr>
          <w:ilvl w:val="1"/>
          <w:numId w:val="5"/>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出具验收报告后，乙方向甲方开具合同总价90%的增值税专用发票（税率13%)，甲方在90个工作日内支付合同总价的90%货款。</w:t>
      </w:r>
    </w:p>
    <w:p w14:paraId="21D55FA5">
      <w:pPr>
        <w:pStyle w:val="76"/>
        <w:spacing w:line="240" w:lineRule="atLeast"/>
        <w:ind w:firstLine="240" w:firstLineChars="100"/>
        <w:rPr>
          <w:rFonts w:hint="eastAsia" w:ascii="仿宋" w:hAnsi="仿宋" w:eastAsia="仿宋"/>
          <w:sz w:val="24"/>
          <w:szCs w:val="24"/>
        </w:rPr>
      </w:pPr>
      <w:r>
        <w:rPr>
          <w:rFonts w:hint="eastAsia" w:ascii="仿宋" w:hAnsi="仿宋" w:eastAsia="仿宋"/>
          <w:sz w:val="24"/>
          <w:szCs w:val="24"/>
        </w:rPr>
        <w:t>4.6. 质保金：合同设备总价的10%，即￥：万元（大写人民币</w:t>
      </w:r>
      <w:r>
        <w:rPr>
          <w:rFonts w:hint="eastAsia" w:ascii="仿宋" w:hAnsi="仿宋" w:eastAsia="仿宋"/>
          <w:sz w:val="24"/>
          <w:szCs w:val="24"/>
          <w:u w:val="single"/>
        </w:rPr>
        <w:t xml:space="preserve">   </w:t>
      </w:r>
      <w:r>
        <w:rPr>
          <w:rFonts w:hint="eastAsia" w:ascii="仿宋" w:hAnsi="仿宋" w:eastAsia="仿宋"/>
          <w:sz w:val="24"/>
          <w:szCs w:val="24"/>
        </w:rPr>
        <w:t xml:space="preserve">万元整）在具备下列所有条件后甲方向乙方支付：   </w:t>
      </w:r>
    </w:p>
    <w:p w14:paraId="6EC2AC40">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4.6.1.从设备安装调试合格试运行结束，甲方出具验收合格报告之日起稳定运行满12个月。</w:t>
      </w:r>
    </w:p>
    <w:p w14:paraId="44DFB5C8">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4.6.2.设备运行状况和性能指标达到买卖双方签定的技术协议的要求，由双方验收人员签订设备的最终验收报告。</w:t>
      </w:r>
    </w:p>
    <w:p w14:paraId="5F3F8B19">
      <w:pPr>
        <w:pStyle w:val="76"/>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4.6.3.乙方向甲方开具合同总价10%的财务收据（大写人民币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44668AC4">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CE668D5">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条款5包装、运输及交货时间、地点、设备所有权转移</w:t>
      </w:r>
    </w:p>
    <w:p w14:paraId="1E506EE0">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包装</w:t>
      </w:r>
    </w:p>
    <w:p w14:paraId="0EBA4365">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应依照设备的不同形状和特殊性质，将提供的全部设备须采用相应标准的保护措施进行包装，以确保设备安全运抵现场。乙方应承担其包装或其防护措施不到位而引起设备锈蚀、损坏和丢失的任何损失的责任和费用。每件包装应附有详细装箱单和质量合格证书各二套，一套原件在包装箱里，另一套复印件直接交付给甲方。</w:t>
      </w:r>
    </w:p>
    <w:p w14:paraId="1AB84020">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包装箱上应有明显的印刷有“轻放”、“勿倒置”和“防雨”等字样。箱内的零散随机部件将由乙方贴上标签，注明合同号、主机名称、部件名称及位置号，部件在安装图上的编码。</w:t>
      </w:r>
    </w:p>
    <w:p w14:paraId="2980DB93">
      <w:pPr>
        <w:pStyle w:val="76"/>
        <w:numPr>
          <w:ilvl w:val="0"/>
          <w:numId w:val="7"/>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包装物不回收。</w:t>
      </w:r>
    </w:p>
    <w:p w14:paraId="4F7468F9">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运输</w:t>
      </w:r>
    </w:p>
    <w:p w14:paraId="3FEBF8BD">
      <w:pPr>
        <w:pStyle w:val="76"/>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运输方式：乙方采用合适的运输方式将合同设备发运至甲方现场。（发货前5天书面通知甲方）。</w:t>
      </w:r>
    </w:p>
    <w:p w14:paraId="5AB25428">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交货时间和地点</w:t>
      </w:r>
    </w:p>
    <w:p w14:paraId="06537926">
      <w:pPr>
        <w:pStyle w:val="76"/>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交货时间：</w:t>
      </w:r>
      <w:r>
        <w:rPr>
          <w:rFonts w:hint="eastAsia" w:ascii="仿宋" w:hAnsi="仿宋" w:eastAsia="仿宋"/>
          <w:bCs/>
          <w:sz w:val="24"/>
          <w:szCs w:val="24"/>
        </w:rPr>
        <w:t>合同生效后</w:t>
      </w:r>
      <w:r>
        <w:rPr>
          <w:rFonts w:ascii="仿宋" w:hAnsi="仿宋" w:eastAsia="仿宋"/>
          <w:bCs/>
          <w:sz w:val="24"/>
          <w:szCs w:val="24"/>
        </w:rPr>
        <w:t>8</w:t>
      </w:r>
      <w:r>
        <w:rPr>
          <w:rFonts w:hint="eastAsia" w:ascii="仿宋" w:hAnsi="仿宋" w:eastAsia="仿宋"/>
          <w:bCs/>
          <w:sz w:val="24"/>
          <w:szCs w:val="24"/>
        </w:rPr>
        <w:t>个月内</w:t>
      </w:r>
      <w:r>
        <w:rPr>
          <w:rFonts w:hint="eastAsia" w:ascii="仿宋" w:hAnsi="仿宋" w:eastAsia="仿宋"/>
          <w:sz w:val="24"/>
          <w:szCs w:val="24"/>
        </w:rPr>
        <w:t>货到甲方现场并安装调试结束达到试运行条件（若甲方要求推迟或提前交货，甲方提前15天书面通知乙方）。</w:t>
      </w:r>
    </w:p>
    <w:p w14:paraId="4B5B4886">
      <w:pPr>
        <w:pStyle w:val="76"/>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交货地点：洛阳万基铝钛合金新材料有限公司设备安装现场。</w:t>
      </w:r>
    </w:p>
    <w:p w14:paraId="07FA0C7B">
      <w:pPr>
        <w:pStyle w:val="76"/>
        <w:numPr>
          <w:ilvl w:val="0"/>
          <w:numId w:val="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设备所有权的转移</w:t>
      </w:r>
    </w:p>
    <w:p w14:paraId="1EBD8F52">
      <w:pPr>
        <w:pStyle w:val="76"/>
        <w:numPr>
          <w:ilvl w:val="0"/>
          <w:numId w:val="10"/>
        </w:numPr>
        <w:spacing w:line="240" w:lineRule="atLeast"/>
        <w:ind w:hanging="698" w:firstLineChars="0"/>
        <w:rPr>
          <w:rFonts w:hint="eastAsia" w:ascii="仿宋" w:hAnsi="仿宋" w:eastAsia="仿宋"/>
          <w:sz w:val="24"/>
          <w:szCs w:val="24"/>
        </w:rPr>
      </w:pPr>
      <w:r>
        <w:rPr>
          <w:rFonts w:hint="eastAsia" w:ascii="仿宋" w:hAnsi="仿宋" w:eastAsia="仿宋"/>
          <w:sz w:val="24"/>
          <w:szCs w:val="24"/>
        </w:rPr>
        <w:t>方将合同设备发运至甲方现场后且经过买卖双方共同检验并出具到货检验证书后，设备所有权转移给甲方。</w:t>
      </w:r>
    </w:p>
    <w:p w14:paraId="692FFEF3">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1549906">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条款6安装与调试</w:t>
      </w:r>
    </w:p>
    <w:p w14:paraId="557F78D5">
      <w:pPr>
        <w:pStyle w:val="76"/>
        <w:numPr>
          <w:ilvl w:val="0"/>
          <w:numId w:val="11"/>
        </w:numPr>
        <w:spacing w:line="240" w:lineRule="atLeast"/>
        <w:ind w:left="567" w:hanging="616" w:firstLineChars="0"/>
        <w:rPr>
          <w:rFonts w:hint="eastAsia" w:ascii="仿宋" w:hAnsi="仿宋" w:eastAsia="仿宋"/>
          <w:sz w:val="24"/>
          <w:szCs w:val="24"/>
        </w:rPr>
      </w:pPr>
      <w:r>
        <w:rPr>
          <w:rFonts w:hint="eastAsia" w:ascii="仿宋" w:hAnsi="仿宋" w:eastAsia="仿宋"/>
          <w:sz w:val="24"/>
          <w:szCs w:val="24"/>
        </w:rPr>
        <w:t>乙方负责指派工程技术人员到甲方现场负责对本合同的设备进行安装和调试，并负责对甲方人员进行操作及维修的技术培训。</w:t>
      </w:r>
    </w:p>
    <w:p w14:paraId="164B74C0">
      <w:pPr>
        <w:pStyle w:val="76"/>
        <w:spacing w:line="240" w:lineRule="atLeast"/>
        <w:ind w:left="567" w:firstLine="0" w:firstLineChars="0"/>
        <w:rPr>
          <w:rFonts w:hint="eastAsia" w:ascii="仿宋" w:hAnsi="仿宋" w:eastAsia="仿宋"/>
          <w:sz w:val="24"/>
          <w:szCs w:val="24"/>
        </w:rPr>
      </w:pPr>
    </w:p>
    <w:p w14:paraId="67CA966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条款7技术规格及标准</w:t>
      </w:r>
    </w:p>
    <w:p w14:paraId="61F8F782">
      <w:pPr>
        <w:pStyle w:val="76"/>
        <w:numPr>
          <w:ilvl w:val="0"/>
          <w:numId w:val="1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本合同项下所供设备的技术规格按照技术协议执行。</w:t>
      </w:r>
    </w:p>
    <w:p w14:paraId="273C2D5D">
      <w:pPr>
        <w:pStyle w:val="76"/>
        <w:spacing w:line="240" w:lineRule="atLeast"/>
        <w:ind w:left="567" w:firstLine="0" w:firstLineChars="0"/>
        <w:rPr>
          <w:rFonts w:hint="eastAsia" w:ascii="仿宋" w:hAnsi="仿宋" w:eastAsia="仿宋"/>
          <w:sz w:val="24"/>
          <w:szCs w:val="24"/>
        </w:rPr>
      </w:pPr>
    </w:p>
    <w:p w14:paraId="4AA51B4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条款8质量保证</w:t>
      </w:r>
    </w:p>
    <w:p w14:paraId="3B147279">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其提供的设备是全新的，并符合合同规定的质量、规格和性能要求。乙方应保证其设备在质量保证期内运转良好。在质量保证期内，乙方应对其设备的缺陷而造成的任何故障负责。出现前述情况，乙方应在收到甲方通知后48小时内，免费负责修理或更换有缺陷的零部件或整机，并承担由此所产生的全部费用。若因此给甲方造成损失的，乙方应当赔偿。如乙方技术人员安装、调试失误或乙方所供技术资料、图纸、名称的错误，导致设备出现问题或损坏等，乙方应免费负责修理或更换零部件或整机，并承担由此所产生的全部费用。</w:t>
      </w:r>
    </w:p>
    <w:p w14:paraId="1A785337">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合同项下设备的质量保证期为甲方验收出具合同设备验收合格报告之日起12个月（即质保期满）。在质保期内合同设备非因甲方原因出现的故障，由乙方承担全部责任并免费更换损坏的零部件，质保期相应顺延。</w:t>
      </w:r>
    </w:p>
    <w:p w14:paraId="151D34DB">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所供设备在安装调试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w:t>
      </w:r>
      <w:r>
        <w:rPr>
          <w:rFonts w:hint="eastAsia" w:ascii="仿宋" w:hAnsi="仿宋" w:eastAsia="仿宋"/>
          <w:b/>
          <w:bCs/>
          <w:sz w:val="24"/>
          <w:szCs w:val="24"/>
        </w:rPr>
        <w:t>设备仍无法达到技术规范要求，则由乙方无条件拆除设备拉回，费用自理（若乙方在15日内不进行处理，甲方有权自行处理并不承担任何责任），同时乙方应退还甲方付给乙方的所有货款，且赔偿由此给甲方造成的所有损失，并向甲方支付单台设备总额20%的违约金。</w:t>
      </w:r>
      <w:r>
        <w:rPr>
          <w:rFonts w:hint="eastAsia" w:ascii="仿宋" w:hAnsi="仿宋" w:eastAsia="仿宋"/>
          <w:sz w:val="24"/>
          <w:szCs w:val="24"/>
        </w:rPr>
        <w:t>若经协商甲方同意接受，每一项与技术附件中（性能保证值及考核）指标要求不符的内容，由乙方向甲方支付合同总额的</w:t>
      </w:r>
      <w:r>
        <w:rPr>
          <w:rFonts w:ascii="仿宋" w:hAnsi="仿宋" w:eastAsia="仿宋"/>
          <w:sz w:val="24"/>
          <w:szCs w:val="24"/>
        </w:rPr>
        <w:t>0.5</w:t>
      </w:r>
      <w:r>
        <w:rPr>
          <w:rFonts w:hint="eastAsia" w:ascii="仿宋" w:hAnsi="仿宋" w:eastAsia="仿宋"/>
          <w:sz w:val="24"/>
          <w:szCs w:val="24"/>
        </w:rPr>
        <w:t>%作为违约金。</w:t>
      </w:r>
    </w:p>
    <w:p w14:paraId="1C81812A">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合同设备的使用和制造以及产品销售不会引起任何第三方提出的侵权赔偿，如果出现第三方的针对甲方使用乙方按照本合同提供的合同设备和技术文件侵权诉讼，乙方应负责处理这些问题，甲方应向乙方提供诉讼方面的必要信息，如给甲方造成损失，乙方应全额赔偿甲方的损失。</w:t>
      </w:r>
    </w:p>
    <w:p w14:paraId="2F44E64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质量实行终身负责制。质保期内，设备出现质量问题，乙方应在接到甲方通知24小时内到达甲方现场负责更换和维修，所有费用由乙方负担。质保期外，设备出现质量问题，若确系设计、原材料或制作工艺原因造成的，乙方应在24小时内免费处理，所需费用由乙方负担。非乙方原因设备出现问题，乙方也应在24小时内协助处理，所需费用由甲方负担。</w:t>
      </w:r>
    </w:p>
    <w:p w14:paraId="0143DAB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乙方保证合同设备符合本合同《技术协议》的规定。</w:t>
      </w:r>
    </w:p>
    <w:p w14:paraId="232B3212">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乙方应保证所提供的技术资料能够满足合同设备的调试、操作及改造的需要。</w:t>
      </w:r>
    </w:p>
    <w:p w14:paraId="4B2C92DD">
      <w:pPr>
        <w:pStyle w:val="76"/>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乙方保证合同所规定的元器件制造厂家及品牌，未经甲方书面同意，不得更改。选购的元器件应符合现行通用标准。外购件必须有相对应的产品合格证书和技术说明书。</w:t>
      </w:r>
    </w:p>
    <w:p w14:paraId="080B01B7">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294D87F9">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条款9检验</w:t>
      </w:r>
    </w:p>
    <w:p w14:paraId="1E6621AB">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发运前，乙方应对设备的质量、规格、性能、数量等进行详细而全面的检验，并出具一份证明设备符合合同规定的合格证书（该合格证书将作为付款的重要依据之一）。但有关质量、规格、性能、数量的检验不应视为最终检验。乙方检验的结果和细节在证书中加以说明，该检验费用由乙方负担。</w:t>
      </w:r>
    </w:p>
    <w:p w14:paraId="4F26582A">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运抵甲方现场后，买卖双方共同对设备的规格、数量和重量进行检验。如发现设备的规格或数量与合同不符，甲方有权在设备运抵现场后90天内，依据检验结果或当地质检部门出具的检验证书向乙方提出索赔。</w:t>
      </w:r>
    </w:p>
    <w:p w14:paraId="0D112232">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如果设备在条款8规定的质量保证期内证实设备是有缺陷的，包括潜在的缺陷或使用不符合要求的材料，甲方有权向乙方提出索赔。</w:t>
      </w:r>
    </w:p>
    <w:p w14:paraId="655990F5">
      <w:pPr>
        <w:pStyle w:val="76"/>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有权在设备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14:paraId="381AFB12">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E1EA2E0">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条款10索赔</w:t>
      </w:r>
    </w:p>
    <w:p w14:paraId="785B5432">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与合同及技术要求不符负全部责任，乙方应按甲方同意的下述方法解决索赔事宜。免费更换有缺陷的零件、部件和设备，或修理缺陷部分，以达到合同规定的规格、质量和性能。乙方承担上述一切费用和风险并承担甲方遭受的一切损失费用。同时乙方应相应延长被更换设备的质量保证期。</w:t>
      </w:r>
    </w:p>
    <w:p w14:paraId="62BA06DC">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应将索赔要求及时通知乙方，乙方若有异议，在收到索赔通知单14天内提出书面异议。如果乙方在收到索赔通知后14天内未能予以答复，则视为乙方对索赔没有异议。若乙方未能在收到索赔通知后14天内处理索赔事宜，甲方有权从未付款中扣回索赔金额，同时保留进一步要求赔偿的权利。</w:t>
      </w:r>
    </w:p>
    <w:p w14:paraId="15A61A23">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如属乙方设备质量原因导致的任何轻微的损坏，甲方第一时间通知乙方经过双方认可后，甲方可以自行修复，由此产生的所有费用由乙方承担。</w:t>
      </w:r>
    </w:p>
    <w:p w14:paraId="20457FFE">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如属甲方使用不当造成损坏，乙方也有义务予以处理，费用由甲方承担。</w:t>
      </w:r>
    </w:p>
    <w:p w14:paraId="254BED7F">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因乙方设备质量问题造成事故的，所有责任由乙方承担，给甲方造成损失的，乙方应当赔偿。</w:t>
      </w:r>
    </w:p>
    <w:p w14:paraId="6CE2D9C8">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在收到买、卖双方签订的合同后，17日内提供正式设计用图纸文件资料（即技术资料），技术资料一般以邮寄方式递交，每批技术资料交邮后，乙方应在24小时内将技术资料的交邮日期、邮单号、技术资料的详细清单、件数及重量、合同号等以传真或电子邮件通知甲方。</w:t>
      </w:r>
    </w:p>
    <w:p w14:paraId="55C9B3C8">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3602EFAD">
      <w:pPr>
        <w:pStyle w:val="76"/>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乙方向甲方开具合同总价税率为13%的增值税专用发票，若出现税务部门不认可的情况，乙方应在接到甲方通知之日起7日内予以更换，否则须向甲方支付单台设备总价20%的违约金，违约金直接从未付款中扣除。</w:t>
      </w:r>
    </w:p>
    <w:p w14:paraId="29B1888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1ACF843A">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条款11逾期交货</w:t>
      </w:r>
    </w:p>
    <w:p w14:paraId="26106F1A">
      <w:pPr>
        <w:pStyle w:val="76"/>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如果乙方未能按合同规定的时间到货并安装调试结束（不可抗力除外），甲方可根据情况决定是否延长交货期。若甲方同意延长交货期，每延迟1天，乙方按合同金额的0.5%向甲方支付违约金。</w:t>
      </w:r>
    </w:p>
    <w:p w14:paraId="5F82FD9A">
      <w:pPr>
        <w:pStyle w:val="76"/>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若乙方延迟交货对甲方造成严重影响，或因乙方的延迟导致甲方不需向乙方购买该设备的，甲方有权视具体情况解除部分或全部合同，乙方应向甲方支付合同总金额</w:t>
      </w:r>
      <w:r>
        <w:rPr>
          <w:rFonts w:ascii="仿宋" w:hAnsi="仿宋" w:eastAsia="仿宋"/>
          <w:sz w:val="24"/>
          <w:szCs w:val="24"/>
        </w:rPr>
        <w:t>2</w:t>
      </w:r>
      <w:r>
        <w:rPr>
          <w:rFonts w:hint="eastAsia" w:ascii="仿宋" w:hAnsi="仿宋" w:eastAsia="仿宋"/>
          <w:sz w:val="24"/>
          <w:szCs w:val="24"/>
        </w:rPr>
        <w:t>0%的迟交货违约金，并赔偿由此给甲方造成的损失。</w:t>
      </w:r>
    </w:p>
    <w:p w14:paraId="3F47EFE3">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45CAA35E">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条款12不可抗力</w:t>
      </w:r>
    </w:p>
    <w:p w14:paraId="09EA2711">
      <w:pPr>
        <w:pStyle w:val="76"/>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76E96973">
      <w:pPr>
        <w:pStyle w:val="76"/>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37F5C6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7808F6E4">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条款13 合同争议解决的方式</w:t>
      </w:r>
    </w:p>
    <w:p w14:paraId="0AF48570">
      <w:pPr>
        <w:pStyle w:val="76"/>
        <w:numPr>
          <w:ilvl w:val="0"/>
          <w:numId w:val="18"/>
        </w:numPr>
        <w:spacing w:line="240" w:lineRule="atLeast"/>
        <w:ind w:left="567" w:hanging="567" w:firstLineChars="0"/>
        <w:jc w:val="left"/>
        <w:rPr>
          <w:rFonts w:hint="eastAsia" w:ascii="仿宋" w:hAnsi="仿宋" w:eastAsia="仿宋"/>
          <w:sz w:val="24"/>
          <w:szCs w:val="24"/>
        </w:rPr>
      </w:pPr>
      <w:r>
        <w:rPr>
          <w:rFonts w:hint="eastAsia" w:ascii="仿宋" w:hAnsi="仿宋" w:eastAsia="仿宋"/>
          <w:sz w:val="24"/>
          <w:szCs w:val="24"/>
        </w:rPr>
        <w:t>凡与本合同有关而引起的一切争议，双方应首先通过友好协商解决，如经协商后仍不能达成协议时，向甲方所在地有管辖权的人民法院提出诉讼。</w:t>
      </w:r>
    </w:p>
    <w:p w14:paraId="61AFCFDC">
      <w:pPr>
        <w:pStyle w:val="76"/>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由上述过程发生的费用除法院判决另有规定外，应由败诉方承担。</w:t>
      </w:r>
    </w:p>
    <w:p w14:paraId="30C61146">
      <w:pPr>
        <w:pStyle w:val="76"/>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在进行法院审理期间，除法院审理的部分外，合同其他部分仍应继续履行。</w:t>
      </w:r>
    </w:p>
    <w:p w14:paraId="399188EA">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1F3E54B9">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条款14适用法律</w:t>
      </w:r>
    </w:p>
    <w:p w14:paraId="3544FD46">
      <w:pPr>
        <w:pStyle w:val="76"/>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本合同应按《中华人民共和国民法典》及相关法律解释。</w:t>
      </w:r>
    </w:p>
    <w:p w14:paraId="32B52585">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6A6D36E8">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条款15通知</w:t>
      </w:r>
    </w:p>
    <w:p w14:paraId="7AE04914">
      <w:pPr>
        <w:pStyle w:val="76"/>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合同任何一方给另一方的通知都应以书面的形式发送，而另一方应以书面形式确认并发送到对方明确的地址。</w:t>
      </w:r>
    </w:p>
    <w:p w14:paraId="09608C90">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57FD335F">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条款16合同生效</w:t>
      </w:r>
    </w:p>
    <w:p w14:paraId="27A8B328">
      <w:pPr>
        <w:pStyle w:val="76"/>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本合同自</w:t>
      </w:r>
      <w:r>
        <w:rPr>
          <w:rFonts w:hint="eastAsia" w:ascii="仿宋" w:hAnsi="仿宋" w:eastAsia="仿宋"/>
          <w:bCs/>
          <w:sz w:val="24"/>
          <w:szCs w:val="24"/>
        </w:rPr>
        <w:t>双方签字盖章之日起收到预付款后生效</w:t>
      </w:r>
      <w:r>
        <w:rPr>
          <w:rFonts w:hint="eastAsia" w:ascii="仿宋" w:hAnsi="仿宋" w:eastAsia="仿宋"/>
          <w:sz w:val="24"/>
          <w:szCs w:val="24"/>
        </w:rPr>
        <w:t>，至双方履行完各自义务索赔完毕时终止。</w:t>
      </w:r>
    </w:p>
    <w:p w14:paraId="0DEDD1BD">
      <w:pPr>
        <w:pStyle w:val="76"/>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本合同一式六份，甲方四份，乙方二份。</w:t>
      </w:r>
    </w:p>
    <w:p w14:paraId="7793E8B8">
      <w:pPr>
        <w:pStyle w:val="76"/>
        <w:snapToGrid w:val="0"/>
        <w:spacing w:line="240" w:lineRule="atLeast"/>
        <w:ind w:left="567" w:firstLine="0" w:firstLineChars="0"/>
        <w:contextualSpacing/>
        <w:jc w:val="center"/>
        <w:outlineLvl w:val="0"/>
        <w:rPr>
          <w:rFonts w:hint="eastAsia" w:ascii="仿宋" w:hAnsi="仿宋" w:eastAsia="仿宋"/>
          <w:b/>
          <w:sz w:val="24"/>
          <w:szCs w:val="24"/>
        </w:rPr>
      </w:pPr>
    </w:p>
    <w:p w14:paraId="0053C95E">
      <w:pPr>
        <w:pStyle w:val="76"/>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 17其它约定事项</w:t>
      </w:r>
    </w:p>
    <w:p w14:paraId="2960CBA1">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合同所附技术协议独立成文，与本合同具有同等法律效力。</w:t>
      </w:r>
    </w:p>
    <w:p w14:paraId="0170A6FA">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未经甲方书面同意，乙方不得将本合同权利义务转让给第三方。</w:t>
      </w:r>
    </w:p>
    <w:p w14:paraId="59C26B42">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甲方根据工程需要可以要求乙方提前交货，但要以书面形式提前通知乙方。</w:t>
      </w:r>
    </w:p>
    <w:p w14:paraId="1299A3CA">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乙方提供的所有有关技术资料一式六份。</w:t>
      </w:r>
    </w:p>
    <w:p w14:paraId="2B2D2F09">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乙方安装、调试人员应遵守甲方现场的各项规章制度并作好自我的安全防护措施，若由于自身原因造成不安全事件发生，一切责任由乙方承担。</w:t>
      </w:r>
    </w:p>
    <w:p w14:paraId="7F723E03">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如果乙方破产或无清偿能力时，甲方可在任何时候以书面通知乙方终止合同。该终止合同将不损害或影响甲方已经采取或将要采取的补救措施的权利。</w:t>
      </w:r>
    </w:p>
    <w:p w14:paraId="5CC1FFCF">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所需的外配套件虽然在合同中已有了约定，但在合同执行中若甲方发现这些外配套厂家所供的配套件可能影响合同设备的整体性能时，甲方有权要求更换外配套厂家，乙方不得以此为由要求增加费用。未经甲方同意，乙方不得私自更换外配套厂家。</w:t>
      </w:r>
    </w:p>
    <w:p w14:paraId="197F98D2">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在合同执行过程中，若出现合同与技术协议有冲突的情况，以本合同为执行标准。本合同未涉及的部分，以技术协议为执行标准。</w:t>
      </w:r>
    </w:p>
    <w:p w14:paraId="4F1663FD">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本合同为“交钥匙”合同，乙方负责供货安装、调试至满足合同及技术协议要求。</w:t>
      </w:r>
    </w:p>
    <w:p w14:paraId="2906C77D">
      <w:pPr>
        <w:pStyle w:val="76"/>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未尽事宜，双方可签订补充协议。</w:t>
      </w:r>
    </w:p>
    <w:p w14:paraId="041FD371">
      <w:pPr>
        <w:pStyle w:val="76"/>
        <w:snapToGrid w:val="0"/>
        <w:spacing w:line="240" w:lineRule="atLeast"/>
        <w:ind w:firstLine="0" w:firstLineChars="0"/>
        <w:contextualSpacing/>
        <w:outlineLvl w:val="0"/>
        <w:rPr>
          <w:rFonts w:hint="eastAsia" w:ascii="仿宋" w:hAnsi="仿宋" w:eastAsia="仿宋"/>
          <w:b/>
          <w:sz w:val="24"/>
          <w:szCs w:val="24"/>
        </w:rPr>
      </w:pPr>
    </w:p>
    <w:p w14:paraId="53FF3F09">
      <w:pPr>
        <w:widowControl/>
        <w:spacing w:line="240" w:lineRule="atLeast"/>
        <w:rPr>
          <w:rFonts w:hint="eastAsia" w:ascii="仿宋" w:hAnsi="仿宋" w:eastAsia="仿宋"/>
          <w:b/>
          <w:sz w:val="44"/>
          <w:szCs w:val="44"/>
        </w:rPr>
      </w:pPr>
      <w:r>
        <w:rPr>
          <w:rFonts w:hint="eastAsia" w:ascii="仿宋" w:hAnsi="仿宋" w:eastAsia="仿宋"/>
          <w:b/>
          <w:sz w:val="44"/>
          <w:szCs w:val="44"/>
        </w:rPr>
        <w:t>签字页</w:t>
      </w:r>
    </w:p>
    <w:tbl>
      <w:tblPr>
        <w:tblStyle w:val="7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5"/>
        <w:gridCol w:w="4137"/>
      </w:tblGrid>
      <w:tr w14:paraId="0C24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2223D3">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甲方：</w:t>
            </w:r>
            <w:r>
              <w:rPr>
                <w:rFonts w:hint="eastAsia" w:ascii="Arial" w:hAnsi="Arial" w:eastAsia="黑体" w:cs="Arial"/>
                <w:color w:val="000000"/>
                <w:kern w:val="0"/>
                <w:szCs w:val="21"/>
              </w:rPr>
              <w:t>*******************</w:t>
            </w:r>
            <w:r>
              <w:rPr>
                <w:rFonts w:ascii="Arial" w:hAnsi="Arial" w:eastAsia="黑体" w:cs="Arial"/>
                <w:color w:val="000000"/>
                <w:kern w:val="0"/>
                <w:szCs w:val="21"/>
              </w:rPr>
              <w:t>有限公司</w:t>
            </w:r>
          </w:p>
        </w:tc>
        <w:tc>
          <w:tcPr>
            <w:tcW w:w="4261" w:type="dxa"/>
          </w:tcPr>
          <w:p w14:paraId="72C50A2D">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乙方：</w:t>
            </w:r>
          </w:p>
        </w:tc>
      </w:tr>
      <w:tr w14:paraId="534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BEF65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p w14:paraId="46FCEC40">
            <w:pPr>
              <w:spacing w:line="480" w:lineRule="auto"/>
              <w:contextualSpacing/>
              <w:rPr>
                <w:rFonts w:ascii="Arial" w:hAnsi="Arial" w:eastAsia="黑体" w:cs="Arial"/>
                <w:color w:val="000000"/>
                <w:kern w:val="0"/>
                <w:sz w:val="20"/>
                <w:szCs w:val="21"/>
              </w:rPr>
            </w:pPr>
          </w:p>
        </w:tc>
        <w:tc>
          <w:tcPr>
            <w:tcW w:w="4261" w:type="dxa"/>
          </w:tcPr>
          <w:p w14:paraId="7000372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tc>
      </w:tr>
      <w:tr w14:paraId="712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7465C4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c>
          <w:tcPr>
            <w:tcW w:w="4261" w:type="dxa"/>
          </w:tcPr>
          <w:p w14:paraId="214F103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r>
      <w:tr w14:paraId="1C92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0CB9CC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c>
          <w:tcPr>
            <w:tcW w:w="4261" w:type="dxa"/>
          </w:tcPr>
          <w:p w14:paraId="6E49B43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r>
      <w:tr w14:paraId="0F98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D1D0F3">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c>
          <w:tcPr>
            <w:tcW w:w="4261" w:type="dxa"/>
          </w:tcPr>
          <w:p w14:paraId="1E49C85B">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r>
      <w:tr w14:paraId="610E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994D9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c>
          <w:tcPr>
            <w:tcW w:w="4261" w:type="dxa"/>
          </w:tcPr>
          <w:p w14:paraId="5242A05A">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r>
      <w:tr w14:paraId="72D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328547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c>
          <w:tcPr>
            <w:tcW w:w="4261" w:type="dxa"/>
            <w:vAlign w:val="center"/>
          </w:tcPr>
          <w:p w14:paraId="3D3D46ED">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r>
      <w:tr w14:paraId="750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E7A40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c>
          <w:tcPr>
            <w:tcW w:w="4261" w:type="dxa"/>
          </w:tcPr>
          <w:p w14:paraId="358CC90F">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r>
    </w:tbl>
    <w:p w14:paraId="77474067">
      <w:pPr>
        <w:spacing w:line="520" w:lineRule="exact"/>
        <w:rPr>
          <w:rFonts w:hint="eastAsia" w:ascii="仿宋" w:hAnsi="仿宋" w:eastAsia="仿宋"/>
          <w:sz w:val="28"/>
          <w:szCs w:val="32"/>
        </w:rPr>
      </w:pPr>
    </w:p>
    <w:p w14:paraId="037E9673">
      <w:pPr>
        <w:spacing w:line="520" w:lineRule="exact"/>
        <w:rPr>
          <w:rFonts w:hint="eastAsia" w:ascii="仿宋" w:hAnsi="仿宋" w:eastAsia="仿宋"/>
          <w:sz w:val="28"/>
          <w:szCs w:val="32"/>
        </w:rPr>
      </w:pPr>
    </w:p>
    <w:p w14:paraId="2A5E63F7">
      <w:pPr>
        <w:spacing w:line="520" w:lineRule="exact"/>
        <w:rPr>
          <w:rFonts w:hint="eastAsia" w:ascii="仿宋" w:hAnsi="仿宋" w:eastAsia="仿宋"/>
          <w:sz w:val="28"/>
          <w:szCs w:val="32"/>
        </w:rPr>
      </w:pPr>
      <w:r>
        <w:rPr>
          <w:rFonts w:hint="eastAsia" w:ascii="仿宋" w:hAnsi="仿宋" w:eastAsia="仿宋"/>
          <w:sz w:val="28"/>
          <w:szCs w:val="32"/>
        </w:rPr>
        <w:t>附件7 差异回复：（投标人若对招标要求有异议，可将差异填写在如下表格中，如无差异直接在报价中签字确认）</w:t>
      </w:r>
    </w:p>
    <w:p w14:paraId="022DB853">
      <w:pPr>
        <w:spacing w:line="300" w:lineRule="exact"/>
        <w:rPr>
          <w:rFonts w:hint="eastAsia" w:ascii="仿宋" w:hAnsi="仿宋" w:eastAsia="仿宋"/>
          <w:sz w:val="28"/>
          <w:szCs w:val="32"/>
        </w:rPr>
      </w:pP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68"/>
        <w:gridCol w:w="3304"/>
        <w:gridCol w:w="757"/>
        <w:gridCol w:w="2505"/>
      </w:tblGrid>
      <w:tr w14:paraId="241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523" w:type="pct"/>
            <w:vMerge w:val="restart"/>
            <w:vAlign w:val="center"/>
          </w:tcPr>
          <w:p w14:paraId="2F050778">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序号</w:t>
            </w:r>
          </w:p>
        </w:tc>
        <w:tc>
          <w:tcPr>
            <w:tcW w:w="2513" w:type="pct"/>
            <w:gridSpan w:val="2"/>
            <w:vAlign w:val="center"/>
          </w:tcPr>
          <w:p w14:paraId="6EFC4CBA">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招标文件</w:t>
            </w:r>
          </w:p>
        </w:tc>
        <w:tc>
          <w:tcPr>
            <w:tcW w:w="1964" w:type="pct"/>
            <w:gridSpan w:val="2"/>
            <w:vAlign w:val="center"/>
          </w:tcPr>
          <w:p w14:paraId="60186D03">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投标文件</w:t>
            </w:r>
          </w:p>
        </w:tc>
      </w:tr>
      <w:tr w14:paraId="163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3" w:type="pct"/>
            <w:vMerge w:val="continue"/>
            <w:vAlign w:val="center"/>
          </w:tcPr>
          <w:p w14:paraId="36FF2C9E">
            <w:pPr>
              <w:pStyle w:val="26"/>
              <w:spacing w:line="240" w:lineRule="atLeast"/>
              <w:jc w:val="center"/>
              <w:rPr>
                <w:rFonts w:hint="eastAsia" w:hAnsi="宋体" w:cs="宋体"/>
                <w:color w:val="000000"/>
                <w:kern w:val="0"/>
                <w:sz w:val="24"/>
                <w:szCs w:val="24"/>
              </w:rPr>
            </w:pPr>
          </w:p>
        </w:tc>
        <w:tc>
          <w:tcPr>
            <w:tcW w:w="523" w:type="pct"/>
            <w:vAlign w:val="center"/>
          </w:tcPr>
          <w:p w14:paraId="765F724D">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989" w:type="pct"/>
            <w:vAlign w:val="center"/>
          </w:tcPr>
          <w:p w14:paraId="46B0EA0F">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c>
          <w:tcPr>
            <w:tcW w:w="456" w:type="pct"/>
            <w:vAlign w:val="center"/>
          </w:tcPr>
          <w:p w14:paraId="0C10257B">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508" w:type="pct"/>
            <w:vAlign w:val="center"/>
          </w:tcPr>
          <w:p w14:paraId="627AA5F7">
            <w:pPr>
              <w:pStyle w:val="26"/>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r>
      <w:tr w14:paraId="5BD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E582F9F">
            <w:pPr>
              <w:pStyle w:val="26"/>
              <w:spacing w:line="240" w:lineRule="atLeast"/>
              <w:rPr>
                <w:rFonts w:hint="eastAsia" w:hAnsi="宋体" w:cs="宋体"/>
                <w:color w:val="000000"/>
                <w:kern w:val="0"/>
                <w:sz w:val="24"/>
                <w:szCs w:val="24"/>
              </w:rPr>
            </w:pPr>
          </w:p>
        </w:tc>
        <w:tc>
          <w:tcPr>
            <w:tcW w:w="523" w:type="pct"/>
            <w:vAlign w:val="center"/>
          </w:tcPr>
          <w:p w14:paraId="7827C64B">
            <w:pPr>
              <w:pStyle w:val="26"/>
              <w:spacing w:line="240" w:lineRule="atLeast"/>
              <w:rPr>
                <w:rFonts w:hint="eastAsia" w:hAnsi="宋体" w:cs="宋体"/>
                <w:color w:val="000000"/>
                <w:kern w:val="0"/>
                <w:sz w:val="24"/>
                <w:szCs w:val="24"/>
              </w:rPr>
            </w:pPr>
          </w:p>
        </w:tc>
        <w:tc>
          <w:tcPr>
            <w:tcW w:w="1989" w:type="pct"/>
            <w:vAlign w:val="center"/>
          </w:tcPr>
          <w:p w14:paraId="28EF1BCA">
            <w:pPr>
              <w:pStyle w:val="26"/>
              <w:spacing w:line="240" w:lineRule="atLeast"/>
              <w:rPr>
                <w:rFonts w:hint="eastAsia" w:hAnsi="宋体" w:cs="宋体"/>
                <w:color w:val="000000"/>
                <w:kern w:val="0"/>
                <w:sz w:val="24"/>
                <w:szCs w:val="24"/>
              </w:rPr>
            </w:pPr>
          </w:p>
        </w:tc>
        <w:tc>
          <w:tcPr>
            <w:tcW w:w="456" w:type="pct"/>
            <w:vAlign w:val="center"/>
          </w:tcPr>
          <w:p w14:paraId="7809E7A0">
            <w:pPr>
              <w:pStyle w:val="26"/>
              <w:spacing w:line="240" w:lineRule="atLeast"/>
              <w:rPr>
                <w:rFonts w:hint="eastAsia" w:hAnsi="宋体" w:cs="宋体"/>
                <w:color w:val="000000"/>
                <w:kern w:val="0"/>
                <w:sz w:val="24"/>
                <w:szCs w:val="24"/>
              </w:rPr>
            </w:pPr>
          </w:p>
        </w:tc>
        <w:tc>
          <w:tcPr>
            <w:tcW w:w="1508" w:type="pct"/>
            <w:vAlign w:val="center"/>
          </w:tcPr>
          <w:p w14:paraId="2F07DDC3">
            <w:pPr>
              <w:pStyle w:val="26"/>
              <w:spacing w:line="240" w:lineRule="atLeast"/>
              <w:rPr>
                <w:rFonts w:hint="eastAsia" w:hAnsi="宋体" w:cs="宋体"/>
                <w:color w:val="000000"/>
                <w:kern w:val="0"/>
                <w:sz w:val="24"/>
                <w:szCs w:val="24"/>
              </w:rPr>
            </w:pPr>
          </w:p>
        </w:tc>
      </w:tr>
      <w:tr w14:paraId="1C5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340989C">
            <w:pPr>
              <w:pStyle w:val="26"/>
              <w:spacing w:line="240" w:lineRule="atLeast"/>
              <w:rPr>
                <w:rFonts w:hint="eastAsia" w:hAnsi="宋体" w:cs="宋体"/>
                <w:color w:val="000000"/>
                <w:kern w:val="0"/>
                <w:sz w:val="24"/>
                <w:szCs w:val="24"/>
              </w:rPr>
            </w:pPr>
          </w:p>
        </w:tc>
        <w:tc>
          <w:tcPr>
            <w:tcW w:w="523" w:type="pct"/>
            <w:vAlign w:val="center"/>
          </w:tcPr>
          <w:p w14:paraId="702B858A">
            <w:pPr>
              <w:pStyle w:val="26"/>
              <w:spacing w:line="240" w:lineRule="atLeast"/>
              <w:rPr>
                <w:rFonts w:hint="eastAsia" w:hAnsi="宋体" w:cs="宋体"/>
                <w:color w:val="000000"/>
                <w:kern w:val="0"/>
                <w:sz w:val="24"/>
                <w:szCs w:val="24"/>
              </w:rPr>
            </w:pPr>
          </w:p>
        </w:tc>
        <w:tc>
          <w:tcPr>
            <w:tcW w:w="1989" w:type="pct"/>
            <w:vAlign w:val="center"/>
          </w:tcPr>
          <w:p w14:paraId="50AEFC6A">
            <w:pPr>
              <w:pStyle w:val="26"/>
              <w:spacing w:line="240" w:lineRule="atLeast"/>
              <w:rPr>
                <w:rFonts w:hint="eastAsia" w:hAnsi="宋体" w:cs="宋体"/>
                <w:color w:val="000000"/>
                <w:kern w:val="0"/>
                <w:sz w:val="24"/>
                <w:szCs w:val="24"/>
              </w:rPr>
            </w:pPr>
          </w:p>
        </w:tc>
        <w:tc>
          <w:tcPr>
            <w:tcW w:w="456" w:type="pct"/>
            <w:vAlign w:val="center"/>
          </w:tcPr>
          <w:p w14:paraId="64163CF5">
            <w:pPr>
              <w:pStyle w:val="26"/>
              <w:spacing w:line="240" w:lineRule="atLeast"/>
              <w:rPr>
                <w:rFonts w:hint="eastAsia" w:hAnsi="宋体" w:cs="宋体"/>
                <w:color w:val="000000"/>
                <w:kern w:val="0"/>
                <w:sz w:val="24"/>
                <w:szCs w:val="24"/>
              </w:rPr>
            </w:pPr>
          </w:p>
        </w:tc>
        <w:tc>
          <w:tcPr>
            <w:tcW w:w="1508" w:type="pct"/>
            <w:vAlign w:val="center"/>
          </w:tcPr>
          <w:p w14:paraId="442D63A9">
            <w:pPr>
              <w:pStyle w:val="26"/>
              <w:spacing w:line="240" w:lineRule="atLeast"/>
              <w:rPr>
                <w:rFonts w:hint="eastAsia" w:hAnsi="宋体" w:cs="宋体"/>
                <w:color w:val="000000"/>
                <w:kern w:val="0"/>
                <w:sz w:val="24"/>
                <w:szCs w:val="24"/>
              </w:rPr>
            </w:pPr>
          </w:p>
        </w:tc>
      </w:tr>
      <w:tr w14:paraId="006E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0B2D8E85">
            <w:pPr>
              <w:pStyle w:val="26"/>
              <w:spacing w:line="240" w:lineRule="atLeast"/>
              <w:rPr>
                <w:rFonts w:hint="eastAsia" w:hAnsi="宋体" w:cs="宋体"/>
                <w:color w:val="000000"/>
                <w:kern w:val="0"/>
                <w:sz w:val="24"/>
                <w:szCs w:val="24"/>
              </w:rPr>
            </w:pPr>
          </w:p>
        </w:tc>
        <w:tc>
          <w:tcPr>
            <w:tcW w:w="523" w:type="pct"/>
            <w:vAlign w:val="center"/>
          </w:tcPr>
          <w:p w14:paraId="6DC14E45">
            <w:pPr>
              <w:pStyle w:val="26"/>
              <w:spacing w:line="240" w:lineRule="atLeast"/>
              <w:rPr>
                <w:rFonts w:hint="eastAsia" w:hAnsi="宋体" w:cs="宋体"/>
                <w:color w:val="000000"/>
                <w:kern w:val="0"/>
                <w:sz w:val="24"/>
                <w:szCs w:val="24"/>
              </w:rPr>
            </w:pPr>
          </w:p>
        </w:tc>
        <w:tc>
          <w:tcPr>
            <w:tcW w:w="1989" w:type="pct"/>
            <w:vAlign w:val="center"/>
          </w:tcPr>
          <w:p w14:paraId="2BE4919F">
            <w:pPr>
              <w:pStyle w:val="26"/>
              <w:spacing w:line="240" w:lineRule="atLeast"/>
              <w:rPr>
                <w:rFonts w:hint="eastAsia" w:hAnsi="宋体" w:cs="宋体"/>
                <w:color w:val="000000"/>
                <w:kern w:val="0"/>
                <w:sz w:val="24"/>
                <w:szCs w:val="24"/>
              </w:rPr>
            </w:pPr>
          </w:p>
        </w:tc>
        <w:tc>
          <w:tcPr>
            <w:tcW w:w="456" w:type="pct"/>
            <w:vAlign w:val="center"/>
          </w:tcPr>
          <w:p w14:paraId="7AB3519B">
            <w:pPr>
              <w:pStyle w:val="26"/>
              <w:spacing w:line="240" w:lineRule="atLeast"/>
              <w:rPr>
                <w:rFonts w:hint="eastAsia" w:hAnsi="宋体" w:cs="宋体"/>
                <w:color w:val="000000"/>
                <w:kern w:val="0"/>
                <w:sz w:val="24"/>
                <w:szCs w:val="24"/>
              </w:rPr>
            </w:pPr>
          </w:p>
        </w:tc>
        <w:tc>
          <w:tcPr>
            <w:tcW w:w="1508" w:type="pct"/>
            <w:vAlign w:val="center"/>
          </w:tcPr>
          <w:p w14:paraId="4C4EA723">
            <w:pPr>
              <w:pStyle w:val="26"/>
              <w:spacing w:line="240" w:lineRule="atLeast"/>
              <w:rPr>
                <w:rFonts w:hint="eastAsia" w:hAnsi="宋体" w:cs="宋体"/>
                <w:color w:val="000000"/>
                <w:kern w:val="0"/>
                <w:sz w:val="24"/>
                <w:szCs w:val="24"/>
              </w:rPr>
            </w:pPr>
          </w:p>
        </w:tc>
      </w:tr>
    </w:tbl>
    <w:p w14:paraId="269D7AA3">
      <w:pPr>
        <w:spacing w:line="460" w:lineRule="exact"/>
        <w:rPr>
          <w:rFonts w:hint="eastAsia"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技术要求</w:t>
      </w:r>
    </w:p>
    <w:p w14:paraId="60BFC676">
      <w:pPr>
        <w:spacing w:line="460" w:lineRule="exact"/>
        <w:rPr>
          <w:rFonts w:hint="eastAsia" w:ascii="仿宋" w:hAnsi="仿宋" w:eastAsia="仿宋"/>
          <w:sz w:val="28"/>
          <w:szCs w:val="28"/>
        </w:rPr>
      </w:pPr>
    </w:p>
    <w:p w14:paraId="49D5FB2A">
      <w:pPr>
        <w:pStyle w:val="2"/>
        <w:bidi w:val="0"/>
        <w:rPr>
          <w:rFonts w:hint="eastAsia" w:ascii="仿宋" w:hAnsi="仿宋" w:eastAsia="仿宋" w:cs="仿宋"/>
          <w:sz w:val="36"/>
          <w:szCs w:val="36"/>
          <w:lang w:val="en-US" w:eastAsia="zh-CN"/>
        </w:rPr>
      </w:pPr>
      <w:bookmarkStart w:id="3" w:name="_Toc3428"/>
      <w:bookmarkStart w:id="4" w:name="_Toc28010"/>
      <w:bookmarkStart w:id="5" w:name="_Toc7718"/>
      <w:bookmarkStart w:id="6" w:name="_Toc3219"/>
      <w:bookmarkStart w:id="7" w:name="_Toc11680"/>
    </w:p>
    <w:p w14:paraId="763956CC">
      <w:pPr>
        <w:pStyle w:val="2"/>
        <w:bidi w:val="0"/>
        <w:rPr>
          <w:rFonts w:hint="default"/>
          <w:sz w:val="36"/>
          <w:szCs w:val="36"/>
          <w:lang w:val="en-US" w:eastAsia="zh-CN"/>
        </w:rPr>
      </w:pPr>
      <w:r>
        <w:rPr>
          <w:rFonts w:hint="eastAsia" w:ascii="仿宋" w:hAnsi="仿宋" w:cs="仿宋"/>
          <w:sz w:val="36"/>
          <w:szCs w:val="36"/>
          <w:lang w:val="en-US" w:eastAsia="zh-CN"/>
        </w:rPr>
        <w:t>河南</w:t>
      </w:r>
      <w:r>
        <w:rPr>
          <w:rFonts w:hint="eastAsia" w:ascii="仿宋" w:hAnsi="仿宋" w:eastAsia="仿宋" w:cs="仿宋"/>
          <w:sz w:val="36"/>
          <w:szCs w:val="36"/>
          <w:lang w:val="en-US" w:eastAsia="zh-CN"/>
        </w:rPr>
        <w:fldChar w:fldCharType="begin"/>
      </w:r>
      <w:r>
        <w:rPr>
          <w:rFonts w:hint="eastAsia" w:ascii="仿宋" w:hAnsi="仿宋" w:eastAsia="仿宋" w:cs="仿宋"/>
          <w:sz w:val="36"/>
          <w:szCs w:val="36"/>
          <w:lang w:val="en-US" w:eastAsia="zh-CN"/>
        </w:rPr>
        <w:instrText xml:space="preserve"> HYPERLINK "https://map.360.cn/?pid=be2e8c3f3446e977&amp;src=onebox" \t "https://www.so.com/_blank" </w:instrText>
      </w:r>
      <w:r>
        <w:rPr>
          <w:rFonts w:hint="eastAsia" w:ascii="仿宋" w:hAnsi="仿宋" w:eastAsia="仿宋" w:cs="仿宋"/>
          <w:sz w:val="36"/>
          <w:szCs w:val="36"/>
          <w:lang w:val="en-US" w:eastAsia="zh-CN"/>
        </w:rPr>
        <w:fldChar w:fldCharType="separate"/>
      </w:r>
      <w:r>
        <w:rPr>
          <w:rFonts w:hint="default" w:ascii="仿宋" w:hAnsi="仿宋" w:eastAsia="仿宋" w:cs="仿宋"/>
          <w:sz w:val="36"/>
          <w:szCs w:val="36"/>
          <w:lang w:val="en-US" w:eastAsia="zh-CN"/>
        </w:rPr>
        <w:t>万基</w:t>
      </w:r>
      <w:r>
        <w:rPr>
          <w:rFonts w:hint="eastAsia" w:ascii="仿宋" w:hAnsi="仿宋" w:eastAsia="仿宋" w:cs="仿宋"/>
          <w:sz w:val="36"/>
          <w:szCs w:val="36"/>
          <w:lang w:val="en-US" w:eastAsia="zh-CN"/>
        </w:rPr>
        <w:t>铝业股份</w:t>
      </w:r>
      <w:r>
        <w:rPr>
          <w:rFonts w:hint="default" w:ascii="仿宋" w:hAnsi="仿宋" w:eastAsia="仿宋" w:cs="仿宋"/>
          <w:sz w:val="36"/>
          <w:szCs w:val="36"/>
          <w:lang w:val="en-US" w:eastAsia="zh-CN"/>
        </w:rPr>
        <w:t>有限公司</w:t>
      </w:r>
      <w:r>
        <w:rPr>
          <w:rFonts w:hint="default" w:ascii="仿宋" w:hAnsi="仿宋" w:eastAsia="仿宋" w:cs="仿宋"/>
          <w:sz w:val="36"/>
          <w:szCs w:val="36"/>
          <w:lang w:val="en-US" w:eastAsia="zh-CN"/>
        </w:rPr>
        <w:fldChar w:fldCharType="end"/>
      </w:r>
      <w:r>
        <w:rPr>
          <w:rFonts w:hint="eastAsia" w:ascii="仿宋" w:hAnsi="仿宋" w:eastAsia="仿宋" w:cs="仿宋"/>
          <w:sz w:val="36"/>
          <w:szCs w:val="36"/>
          <w:lang w:val="en-US" w:eastAsia="zh-CN"/>
        </w:rPr>
        <w:t>（二分厂）超低排放烟气连续检测系统（CEMS）</w:t>
      </w:r>
      <w:r>
        <w:rPr>
          <w:rFonts w:hint="eastAsia" w:ascii="仿宋" w:hAnsi="仿宋" w:cs="仿宋"/>
          <w:sz w:val="36"/>
          <w:szCs w:val="36"/>
          <w:lang w:val="en-US" w:eastAsia="zh-CN"/>
        </w:rPr>
        <w:t>项目</w:t>
      </w:r>
    </w:p>
    <w:p w14:paraId="52BC858B">
      <w:pPr>
        <w:pStyle w:val="2"/>
        <w:bidi w:val="0"/>
        <w:rPr>
          <w:rFonts w:hint="eastAsia"/>
        </w:rPr>
      </w:pPr>
    </w:p>
    <w:bookmarkEnd w:id="3"/>
    <w:bookmarkEnd w:id="4"/>
    <w:p w14:paraId="1BC0E2A7">
      <w:pPr>
        <w:ind w:firstLine="6080" w:firstLineChars="1900"/>
        <w:jc w:val="both"/>
        <w:rPr>
          <w:rFonts w:hint="eastAsia"/>
          <w:sz w:val="32"/>
          <w:szCs w:val="32"/>
          <w:lang w:val="en-US" w:eastAsia="zh-CN"/>
        </w:rPr>
      </w:pPr>
    </w:p>
    <w:p w14:paraId="6236A5E0">
      <w:pPr>
        <w:ind w:firstLine="6080" w:firstLineChars="1900"/>
        <w:jc w:val="both"/>
        <w:rPr>
          <w:rFonts w:hint="eastAsia"/>
          <w:sz w:val="32"/>
          <w:szCs w:val="32"/>
          <w:lang w:val="en-US" w:eastAsia="zh-CN"/>
        </w:rPr>
      </w:pPr>
    </w:p>
    <w:p w14:paraId="2A3711BE">
      <w:pPr>
        <w:ind w:firstLine="3360" w:firstLineChars="700"/>
        <w:jc w:val="both"/>
        <w:rPr>
          <w:rFonts w:hint="eastAsia"/>
          <w:sz w:val="48"/>
          <w:szCs w:val="48"/>
          <w:lang w:val="en-US" w:eastAsia="zh-CN"/>
        </w:rPr>
      </w:pPr>
    </w:p>
    <w:p w14:paraId="0A15D775">
      <w:pPr>
        <w:ind w:firstLine="3360" w:firstLineChars="700"/>
        <w:jc w:val="both"/>
        <w:rPr>
          <w:rFonts w:hint="eastAsia"/>
          <w:sz w:val="48"/>
          <w:szCs w:val="48"/>
          <w:lang w:val="en-US" w:eastAsia="zh-CN"/>
        </w:rPr>
      </w:pPr>
    </w:p>
    <w:p w14:paraId="10C42ABB">
      <w:pPr>
        <w:ind w:firstLine="3360" w:firstLineChars="700"/>
        <w:jc w:val="both"/>
        <w:rPr>
          <w:rFonts w:hint="eastAsia"/>
          <w:sz w:val="48"/>
          <w:szCs w:val="48"/>
          <w:lang w:val="en-US" w:eastAsia="zh-CN"/>
        </w:rPr>
      </w:pPr>
    </w:p>
    <w:p w14:paraId="65C30592">
      <w:pPr>
        <w:ind w:firstLine="3360" w:firstLineChars="700"/>
        <w:jc w:val="both"/>
        <w:rPr>
          <w:rFonts w:hint="eastAsia"/>
          <w:sz w:val="48"/>
          <w:szCs w:val="48"/>
          <w:lang w:val="en-US" w:eastAsia="zh-CN"/>
        </w:rPr>
      </w:pPr>
    </w:p>
    <w:p w14:paraId="75A7C47F">
      <w:pPr>
        <w:ind w:firstLine="3360" w:firstLineChars="700"/>
        <w:jc w:val="both"/>
        <w:rPr>
          <w:rFonts w:hint="eastAsia"/>
          <w:sz w:val="48"/>
          <w:szCs w:val="48"/>
          <w:lang w:val="en-US" w:eastAsia="zh-CN"/>
        </w:rPr>
      </w:pPr>
    </w:p>
    <w:p w14:paraId="5F110818">
      <w:pPr>
        <w:ind w:firstLine="3360" w:firstLineChars="700"/>
        <w:jc w:val="both"/>
        <w:rPr>
          <w:rFonts w:hint="default"/>
          <w:sz w:val="48"/>
          <w:szCs w:val="48"/>
          <w:lang w:val="en-US" w:eastAsia="zh-CN"/>
        </w:rPr>
      </w:pPr>
      <w:r>
        <w:rPr>
          <w:rFonts w:hint="eastAsia"/>
          <w:sz w:val="48"/>
          <w:szCs w:val="48"/>
          <w:lang w:val="en-US" w:eastAsia="zh-CN"/>
        </w:rPr>
        <w:t>技术要求</w:t>
      </w:r>
    </w:p>
    <w:p w14:paraId="02B30DFC">
      <w:pPr>
        <w:ind w:firstLine="6080" w:firstLineChars="1900"/>
        <w:jc w:val="both"/>
        <w:rPr>
          <w:rFonts w:hint="eastAsia"/>
          <w:sz w:val="32"/>
          <w:szCs w:val="32"/>
          <w:lang w:val="en-US" w:eastAsia="zh-CN"/>
        </w:rPr>
      </w:pPr>
    </w:p>
    <w:p w14:paraId="59253343">
      <w:pPr>
        <w:ind w:firstLine="6080" w:firstLineChars="1900"/>
        <w:jc w:val="both"/>
        <w:rPr>
          <w:rFonts w:hint="eastAsia"/>
          <w:sz w:val="32"/>
          <w:szCs w:val="32"/>
          <w:lang w:val="en-US" w:eastAsia="zh-CN"/>
        </w:rPr>
      </w:pPr>
    </w:p>
    <w:p w14:paraId="30AB2844">
      <w:pPr>
        <w:ind w:firstLine="6080" w:firstLineChars="1900"/>
        <w:jc w:val="both"/>
        <w:rPr>
          <w:rFonts w:hint="eastAsia"/>
          <w:sz w:val="32"/>
          <w:szCs w:val="32"/>
          <w:lang w:val="en-US" w:eastAsia="zh-CN"/>
        </w:rPr>
      </w:pPr>
    </w:p>
    <w:p w14:paraId="0012B193">
      <w:pPr>
        <w:ind w:firstLine="6080" w:firstLineChars="1900"/>
        <w:jc w:val="both"/>
        <w:rPr>
          <w:rFonts w:hint="eastAsia"/>
          <w:sz w:val="32"/>
          <w:szCs w:val="32"/>
          <w:lang w:val="en-US" w:eastAsia="zh-CN"/>
        </w:rPr>
      </w:pPr>
    </w:p>
    <w:bookmarkEnd w:id="5"/>
    <w:bookmarkEnd w:id="6"/>
    <w:bookmarkEnd w:id="7"/>
    <w:p w14:paraId="54169D73">
      <w:pPr>
        <w:rPr>
          <w:rFonts w:hint="eastAsia"/>
          <w:lang w:val="en-US" w:eastAsia="zh-CN"/>
        </w:rPr>
      </w:pPr>
      <w:bookmarkStart w:id="8" w:name="_Toc12872"/>
      <w:bookmarkStart w:id="9" w:name="_Toc15837"/>
      <w:bookmarkStart w:id="10" w:name="_Toc13666"/>
      <w:bookmarkStart w:id="11" w:name="_Toc16201"/>
      <w:bookmarkStart w:id="12" w:name="_Toc22828"/>
      <w:bookmarkStart w:id="13" w:name="_Toc11536"/>
      <w:bookmarkStart w:id="14" w:name="_Toc21334"/>
      <w:bookmarkStart w:id="15" w:name="_Toc10427"/>
    </w:p>
    <w:p w14:paraId="04D908EA">
      <w:pPr>
        <w:rPr>
          <w:rFonts w:hint="eastAsia"/>
          <w:lang w:val="en-US" w:eastAsia="zh-CN"/>
        </w:rPr>
      </w:pPr>
      <w:bookmarkStart w:id="16" w:name="_Toc26993"/>
      <w:bookmarkStart w:id="17" w:name="_Toc128871057"/>
      <w:r>
        <w:rPr>
          <w:rFonts w:hint="eastAsia"/>
          <w:lang w:val="en-US" w:eastAsia="zh-CN"/>
        </w:rPr>
        <w:br w:type="page"/>
      </w:r>
    </w:p>
    <w:p w14:paraId="5A9FEE89">
      <w:pPr>
        <w:pStyle w:val="3"/>
        <w:bidi w:val="0"/>
      </w:pPr>
      <w:r>
        <w:rPr>
          <w:rFonts w:hint="eastAsia"/>
          <w:lang w:val="en-US" w:eastAsia="zh-CN"/>
        </w:rPr>
        <w:t>1、</w:t>
      </w:r>
      <w:r>
        <w:t>总则</w:t>
      </w:r>
      <w:bookmarkEnd w:id="16"/>
      <w:bookmarkEnd w:id="17"/>
    </w:p>
    <w:p w14:paraId="3885F1FB"/>
    <w:p w14:paraId="54D4CDAF">
      <w:pPr>
        <w:widowControl/>
        <w:numPr>
          <w:ilvl w:val="1"/>
          <w:numId w:val="23"/>
        </w:numPr>
        <w:spacing w:line="360" w:lineRule="auto"/>
        <w:rPr>
          <w:rFonts w:ascii="仿宋" w:hAnsi="仿宋" w:eastAsia="仿宋"/>
          <w:sz w:val="24"/>
          <w:szCs w:val="24"/>
        </w:rPr>
      </w:pPr>
      <w:r>
        <w:rPr>
          <w:rFonts w:ascii="仿宋" w:hAnsi="仿宋" w:eastAsia="仿宋"/>
          <w:sz w:val="24"/>
          <w:szCs w:val="24"/>
        </w:rPr>
        <w:t>本招标规范书</w:t>
      </w:r>
      <w:r>
        <w:rPr>
          <w:rFonts w:hint="eastAsia" w:ascii="仿宋" w:hAnsi="仿宋" w:eastAsia="仿宋"/>
          <w:sz w:val="24"/>
          <w:szCs w:val="24"/>
        </w:rPr>
        <w:t>适用于</w:t>
      </w:r>
      <w:r>
        <w:rPr>
          <w:rFonts w:hint="eastAsia" w:ascii="仿宋" w:hAnsi="仿宋" w:eastAsia="仿宋"/>
          <w:sz w:val="24"/>
          <w:szCs w:val="24"/>
          <w:lang w:val="en-US" w:eastAsia="zh-CN"/>
        </w:rPr>
        <w:t>河南</w:t>
      </w:r>
      <w:r>
        <w:rPr>
          <w:rFonts w:ascii="仿宋" w:hAnsi="仿宋" w:eastAsia="仿宋"/>
          <w:sz w:val="24"/>
          <w:szCs w:val="24"/>
        </w:rPr>
        <w:fldChar w:fldCharType="begin"/>
      </w:r>
      <w:r>
        <w:rPr>
          <w:rFonts w:ascii="仿宋" w:hAnsi="仿宋" w:eastAsia="仿宋"/>
          <w:sz w:val="24"/>
          <w:szCs w:val="24"/>
        </w:rPr>
        <w:instrText xml:space="preserve"> HYPERLINK "https://map.360.cn/?pid=be2e8c3f3446e977&amp;src=onebox" \t "https://www.so.com/_blank" </w:instrText>
      </w:r>
      <w:r>
        <w:rPr>
          <w:rFonts w:ascii="仿宋" w:hAnsi="仿宋" w:eastAsia="仿宋"/>
          <w:sz w:val="24"/>
          <w:szCs w:val="24"/>
        </w:rPr>
        <w:fldChar w:fldCharType="separate"/>
      </w:r>
      <w:r>
        <w:rPr>
          <w:rFonts w:hint="default" w:ascii="仿宋" w:hAnsi="仿宋" w:eastAsia="仿宋"/>
          <w:sz w:val="24"/>
          <w:szCs w:val="24"/>
        </w:rPr>
        <w:t>万基</w:t>
      </w:r>
      <w:r>
        <w:rPr>
          <w:rFonts w:hint="eastAsia" w:ascii="仿宋" w:hAnsi="仿宋" w:eastAsia="仿宋"/>
          <w:sz w:val="24"/>
          <w:szCs w:val="24"/>
          <w:lang w:val="en-US" w:eastAsia="zh-CN"/>
        </w:rPr>
        <w:t>铝业股份</w:t>
      </w:r>
      <w:r>
        <w:rPr>
          <w:rFonts w:hint="default" w:ascii="仿宋" w:hAnsi="仿宋" w:eastAsia="仿宋"/>
          <w:sz w:val="24"/>
          <w:szCs w:val="24"/>
        </w:rPr>
        <w:t>有限公司</w:t>
      </w:r>
      <w:r>
        <w:rPr>
          <w:rFonts w:hint="default" w:ascii="仿宋" w:hAnsi="仿宋" w:eastAsia="仿宋"/>
          <w:sz w:val="24"/>
          <w:szCs w:val="24"/>
        </w:rPr>
        <w:fldChar w:fldCharType="end"/>
      </w:r>
      <w:r>
        <w:rPr>
          <w:rFonts w:hint="eastAsia" w:ascii="仿宋" w:hAnsi="仿宋" w:eastAsia="仿宋"/>
          <w:sz w:val="24"/>
          <w:szCs w:val="24"/>
          <w:lang w:eastAsia="zh-CN"/>
        </w:rPr>
        <w:t>（</w:t>
      </w:r>
      <w:r>
        <w:rPr>
          <w:rFonts w:hint="eastAsia" w:ascii="仿宋" w:hAnsi="仿宋" w:eastAsia="仿宋"/>
          <w:sz w:val="24"/>
          <w:szCs w:val="24"/>
          <w:lang w:val="en-US" w:eastAsia="zh-CN"/>
        </w:rPr>
        <w:t>二分厂</w:t>
      </w:r>
      <w:r>
        <w:rPr>
          <w:rFonts w:hint="eastAsia" w:ascii="仿宋" w:hAnsi="仿宋" w:eastAsia="仿宋"/>
          <w:sz w:val="24"/>
          <w:szCs w:val="24"/>
          <w:lang w:eastAsia="zh-CN"/>
        </w:rPr>
        <w:t>）</w:t>
      </w:r>
      <w:r>
        <w:rPr>
          <w:rFonts w:hint="eastAsia" w:ascii="仿宋" w:hAnsi="仿宋" w:eastAsia="仿宋" w:cs="仿宋"/>
          <w:sz w:val="24"/>
          <w:szCs w:val="24"/>
          <w:lang w:val="en-US" w:eastAsia="zh-CN"/>
        </w:rPr>
        <w:t>超低排放烟气连续检测系统（CEMS）</w:t>
      </w:r>
      <w:r>
        <w:rPr>
          <w:rFonts w:hint="eastAsia" w:ascii="仿宋" w:hAnsi="仿宋" w:eastAsia="仿宋"/>
          <w:sz w:val="24"/>
          <w:szCs w:val="24"/>
        </w:rPr>
        <w:t>的</w:t>
      </w:r>
      <w:r>
        <w:rPr>
          <w:rFonts w:ascii="仿宋" w:hAnsi="仿宋" w:eastAsia="仿宋"/>
          <w:sz w:val="24"/>
          <w:szCs w:val="24"/>
        </w:rPr>
        <w:t>功能设计、结构、性能、安装和试验等方面的技术要求。</w:t>
      </w:r>
    </w:p>
    <w:p w14:paraId="2117C7A4">
      <w:pPr>
        <w:widowControl/>
        <w:numPr>
          <w:ilvl w:val="1"/>
          <w:numId w:val="23"/>
        </w:numPr>
        <w:spacing w:line="360" w:lineRule="auto"/>
        <w:rPr>
          <w:rFonts w:ascii="仿宋" w:hAnsi="仿宋" w:eastAsia="仿宋"/>
          <w:sz w:val="24"/>
          <w:szCs w:val="24"/>
        </w:rPr>
      </w:pPr>
      <w:r>
        <w:rPr>
          <w:rFonts w:hint="eastAsia" w:ascii="仿宋" w:hAnsi="仿宋" w:eastAsia="仿宋"/>
          <w:sz w:val="24"/>
          <w:szCs w:val="24"/>
        </w:rPr>
        <w:t>本次招标烟气排放连续监测系统监测项目包括SO2、NOx、02、颗粒物浓度、</w:t>
      </w:r>
    </w:p>
    <w:p w14:paraId="0ACC626E">
      <w:pPr>
        <w:widowControl/>
        <w:numPr>
          <w:ilvl w:val="0"/>
          <w:numId w:val="0"/>
        </w:numPr>
        <w:spacing w:line="360" w:lineRule="auto"/>
        <w:ind w:leftChars="0"/>
        <w:rPr>
          <w:rFonts w:ascii="仿宋" w:hAnsi="仿宋" w:eastAsia="仿宋"/>
          <w:sz w:val="24"/>
          <w:szCs w:val="24"/>
        </w:rPr>
      </w:pPr>
      <w:r>
        <w:rPr>
          <w:rFonts w:hint="eastAsia" w:ascii="仿宋" w:hAnsi="仿宋" w:eastAsia="仿宋"/>
          <w:sz w:val="24"/>
          <w:szCs w:val="24"/>
        </w:rPr>
        <w:t>烟气温度、压力、流速（含实测和折算值）、湿度，并统计排放率、排放总量等，从而对测量到的数据进行有效管理。</w:t>
      </w:r>
    </w:p>
    <w:p w14:paraId="20251224">
      <w:pPr>
        <w:numPr>
          <w:ilvl w:val="1"/>
          <w:numId w:val="23"/>
        </w:numPr>
        <w:spacing w:line="360" w:lineRule="auto"/>
        <w:rPr>
          <w:rFonts w:ascii="仿宋" w:hAnsi="仿宋" w:eastAsia="仿宋"/>
          <w:sz w:val="24"/>
          <w:szCs w:val="24"/>
        </w:rPr>
      </w:pPr>
      <w:r>
        <w:rPr>
          <w:rFonts w:ascii="仿宋" w:hAnsi="仿宋" w:eastAsia="仿宋"/>
          <w:sz w:val="24"/>
          <w:szCs w:val="24"/>
        </w:rPr>
        <w:t>本技术规范书中提出了最低限度的技术要求，并未规定所有的技术要求和适</w:t>
      </w:r>
    </w:p>
    <w:p w14:paraId="566D0205">
      <w:pPr>
        <w:numPr>
          <w:ilvl w:val="0"/>
          <w:numId w:val="0"/>
        </w:numPr>
        <w:spacing w:line="360" w:lineRule="auto"/>
        <w:ind w:leftChars="0"/>
        <w:rPr>
          <w:rFonts w:ascii="仿宋" w:hAnsi="仿宋" w:eastAsia="仿宋"/>
          <w:sz w:val="24"/>
          <w:szCs w:val="24"/>
        </w:rPr>
      </w:pPr>
      <w:r>
        <w:rPr>
          <w:rFonts w:ascii="仿宋" w:hAnsi="仿宋" w:eastAsia="仿宋"/>
          <w:sz w:val="24"/>
          <w:szCs w:val="24"/>
        </w:rPr>
        <w:t>用的标准，卖方应提供满足本技术规范书和所列标准要求的高质量产品及其相应服务。</w:t>
      </w:r>
    </w:p>
    <w:p w14:paraId="6FADE495">
      <w:pPr>
        <w:widowControl/>
        <w:numPr>
          <w:ilvl w:val="1"/>
          <w:numId w:val="23"/>
        </w:numPr>
        <w:spacing w:line="360" w:lineRule="auto"/>
        <w:rPr>
          <w:rFonts w:ascii="仿宋" w:hAnsi="仿宋" w:eastAsia="仿宋"/>
          <w:sz w:val="24"/>
          <w:szCs w:val="24"/>
        </w:rPr>
      </w:pPr>
      <w:r>
        <w:rPr>
          <w:rFonts w:ascii="仿宋" w:hAnsi="仿宋" w:eastAsia="仿宋"/>
          <w:sz w:val="24"/>
          <w:szCs w:val="24"/>
        </w:rPr>
        <w:t>投标方如未对本规范书提出偏差，招标方将认为投标方提供的设备符合本规</w:t>
      </w:r>
    </w:p>
    <w:p w14:paraId="5B3ACE94">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范书和标准的要求。</w:t>
      </w:r>
    </w:p>
    <w:p w14:paraId="4478EAA1">
      <w:pPr>
        <w:widowControl/>
        <w:numPr>
          <w:ilvl w:val="1"/>
          <w:numId w:val="23"/>
        </w:numPr>
        <w:spacing w:line="360" w:lineRule="auto"/>
        <w:rPr>
          <w:rFonts w:ascii="仿宋" w:hAnsi="仿宋" w:eastAsia="仿宋"/>
          <w:sz w:val="24"/>
          <w:szCs w:val="24"/>
        </w:rPr>
      </w:pPr>
      <w:r>
        <w:rPr>
          <w:rFonts w:ascii="仿宋" w:hAnsi="仿宋" w:eastAsia="仿宋"/>
          <w:sz w:val="24"/>
          <w:szCs w:val="24"/>
        </w:rPr>
        <w:t>技术</w:t>
      </w:r>
      <w:r>
        <w:rPr>
          <w:rFonts w:hint="eastAsia" w:ascii="仿宋" w:hAnsi="仿宋" w:eastAsia="仿宋"/>
          <w:sz w:val="24"/>
          <w:szCs w:val="24"/>
          <w:lang w:val="en-US" w:eastAsia="zh-CN"/>
        </w:rPr>
        <w:t>要求及</w:t>
      </w:r>
      <w:r>
        <w:rPr>
          <w:rFonts w:ascii="仿宋" w:hAnsi="仿宋" w:eastAsia="仿宋"/>
          <w:sz w:val="24"/>
          <w:szCs w:val="24"/>
        </w:rPr>
        <w:t>合同规定的文件，包括图纸、计算、说明、使用手册等，均使用</w:t>
      </w:r>
    </w:p>
    <w:p w14:paraId="3887DCA2">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国际单位制（SI）。</w:t>
      </w:r>
    </w:p>
    <w:p w14:paraId="5226CB29">
      <w:pPr>
        <w:widowControl/>
        <w:numPr>
          <w:ilvl w:val="1"/>
          <w:numId w:val="23"/>
        </w:numPr>
        <w:spacing w:line="360" w:lineRule="auto"/>
        <w:rPr>
          <w:rFonts w:ascii="仿宋" w:hAnsi="仿宋" w:eastAsia="仿宋"/>
          <w:sz w:val="24"/>
          <w:szCs w:val="24"/>
        </w:rPr>
      </w:pPr>
      <w:r>
        <w:rPr>
          <w:rFonts w:ascii="仿宋" w:hAnsi="仿宋" w:eastAsia="仿宋"/>
          <w:sz w:val="24"/>
          <w:szCs w:val="24"/>
        </w:rPr>
        <w:t>技术</w:t>
      </w:r>
      <w:r>
        <w:rPr>
          <w:rFonts w:hint="eastAsia" w:ascii="仿宋" w:hAnsi="仿宋" w:eastAsia="仿宋"/>
          <w:sz w:val="24"/>
          <w:szCs w:val="24"/>
          <w:lang w:val="en-US" w:eastAsia="zh-CN"/>
        </w:rPr>
        <w:t>要求</w:t>
      </w:r>
      <w:r>
        <w:rPr>
          <w:rFonts w:ascii="仿宋" w:hAnsi="仿宋" w:eastAsia="仿宋"/>
          <w:sz w:val="24"/>
          <w:szCs w:val="24"/>
        </w:rPr>
        <w:t>应作为合同的一个技术附件，并与合同文件有相同的法律效力。双</w:t>
      </w:r>
    </w:p>
    <w:p w14:paraId="3F45C38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方共同签署的会议纪要、补充文件等也与合同文件有相同的法律效力。</w:t>
      </w:r>
    </w:p>
    <w:p w14:paraId="63FF8ACB">
      <w:pPr>
        <w:widowControl/>
        <w:numPr>
          <w:ilvl w:val="1"/>
          <w:numId w:val="23"/>
        </w:numPr>
        <w:spacing w:line="360" w:lineRule="auto"/>
        <w:rPr>
          <w:rFonts w:ascii="仿宋" w:hAnsi="仿宋" w:eastAsia="仿宋"/>
          <w:sz w:val="24"/>
          <w:szCs w:val="24"/>
        </w:rPr>
      </w:pPr>
      <w:r>
        <w:rPr>
          <w:rFonts w:ascii="仿宋" w:hAnsi="仿宋" w:eastAsia="仿宋"/>
          <w:sz w:val="24"/>
          <w:szCs w:val="24"/>
        </w:rPr>
        <w:t>提供的CEMS应完全符合规范书的要求，是全新的和先进的，并经过运行实践已证明是完全成熟可靠的优质产品。</w:t>
      </w:r>
    </w:p>
    <w:p w14:paraId="5F32D1A6">
      <w:pPr>
        <w:widowControl/>
        <w:numPr>
          <w:ilvl w:val="1"/>
          <w:numId w:val="23"/>
        </w:numPr>
        <w:spacing w:line="360" w:lineRule="auto"/>
        <w:rPr>
          <w:rFonts w:ascii="仿宋" w:hAnsi="仿宋" w:eastAsia="仿宋"/>
          <w:sz w:val="24"/>
          <w:szCs w:val="24"/>
        </w:rPr>
      </w:pPr>
      <w:r>
        <w:rPr>
          <w:rFonts w:ascii="仿宋" w:hAnsi="仿宋" w:eastAsia="仿宋"/>
          <w:sz w:val="24"/>
          <w:szCs w:val="24"/>
        </w:rPr>
        <w:t>在签订合同之后，到开始制造之日的这段时间内，招标方有权提出因规范、</w:t>
      </w:r>
    </w:p>
    <w:p w14:paraId="09CA304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标准和规程发生变化而产生的一些补充修改要求，遵守这个要求，具体款项内容应由供需双方共同商定。</w:t>
      </w:r>
    </w:p>
    <w:p w14:paraId="46B919C8">
      <w:pPr>
        <w:widowControl/>
        <w:numPr>
          <w:ilvl w:val="0"/>
          <w:numId w:val="0"/>
        </w:numPr>
        <w:spacing w:line="360" w:lineRule="auto"/>
        <w:ind w:leftChars="0"/>
        <w:rPr>
          <w:rFonts w:ascii="仿宋" w:hAnsi="仿宋" w:eastAsia="仿宋"/>
          <w:sz w:val="24"/>
          <w:szCs w:val="24"/>
        </w:rPr>
      </w:pPr>
      <w:r>
        <w:rPr>
          <w:rFonts w:hint="eastAsia" w:ascii="仿宋" w:hAnsi="仿宋" w:eastAsia="仿宋"/>
          <w:sz w:val="24"/>
          <w:szCs w:val="24"/>
          <w:lang w:val="en-US" w:eastAsia="zh-CN"/>
        </w:rPr>
        <w:t>1.9</w:t>
      </w:r>
      <w:r>
        <w:rPr>
          <w:rFonts w:ascii="仿宋" w:hAnsi="仿宋" w:eastAsia="仿宋"/>
          <w:sz w:val="24"/>
          <w:szCs w:val="24"/>
        </w:rPr>
        <w:t>所使用的标准，如遇到与所执行的标准不一致时，按较高的标准执行，但不低于最新中国国家标准。如果与现行使用的有关中国标准以及中国部颁标准有明显抵触的条文，及时书面通知招标方进行解决。</w:t>
      </w:r>
    </w:p>
    <w:p w14:paraId="6A5F62CE">
      <w:pPr>
        <w:widowControl/>
        <w:numPr>
          <w:ilvl w:val="0"/>
          <w:numId w:val="0"/>
        </w:numPr>
        <w:spacing w:line="360" w:lineRule="auto"/>
        <w:ind w:leftChars="0"/>
        <w:rPr>
          <w:rFonts w:ascii="仿宋" w:hAnsi="仿宋" w:eastAsia="仿宋"/>
          <w:kern w:val="0"/>
          <w:sz w:val="24"/>
          <w:szCs w:val="24"/>
        </w:rPr>
      </w:pPr>
      <w:r>
        <w:rPr>
          <w:rFonts w:hint="eastAsia" w:ascii="仿宋" w:hAnsi="仿宋" w:eastAsia="仿宋"/>
          <w:kern w:val="0"/>
          <w:sz w:val="24"/>
          <w:szCs w:val="24"/>
          <w:lang w:val="en-US" w:eastAsia="zh-CN"/>
        </w:rPr>
        <w:t>1.10</w:t>
      </w:r>
      <w:r>
        <w:rPr>
          <w:rFonts w:ascii="仿宋" w:hAnsi="仿宋" w:eastAsia="仿宋"/>
          <w:kern w:val="0"/>
          <w:sz w:val="24"/>
          <w:szCs w:val="24"/>
        </w:rPr>
        <w:t>污染源自动监控现场仪器必须选用经国家环保总局环境监测仪器质量监督检验中心认证的产品。投标方应在投标文件中提供相应认证书。</w:t>
      </w:r>
    </w:p>
    <w:p w14:paraId="3EFE1CAC">
      <w:pPr>
        <w:widowControl/>
        <w:numPr>
          <w:ilvl w:val="0"/>
          <w:numId w:val="0"/>
        </w:numPr>
        <w:spacing w:line="360" w:lineRule="auto"/>
        <w:ind w:leftChars="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1.11 设备应具有以下证书</w:t>
      </w:r>
    </w:p>
    <w:p w14:paraId="6C49B633">
      <w:pPr>
        <w:widowControl/>
        <w:numPr>
          <w:ilvl w:val="0"/>
          <w:numId w:val="0"/>
        </w:numPr>
        <w:spacing w:line="360" w:lineRule="auto"/>
        <w:ind w:leftChars="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1.11.1国家环境保护产品认证证书（按照HJ76-2017规范取得认证、提供证书）</w:t>
      </w:r>
    </w:p>
    <w:p w14:paraId="5680EECD">
      <w:pPr>
        <w:widowControl/>
        <w:numPr>
          <w:ilvl w:val="0"/>
          <w:numId w:val="0"/>
        </w:numPr>
        <w:spacing w:line="360" w:lineRule="auto"/>
        <w:ind w:leftChars="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1.11.2国家环境保护部环境监测仪器质量监督检验中心出具的产品实用性监测报告（按照HJ76-2017规范检测，提供检测报告）</w:t>
      </w:r>
    </w:p>
    <w:p w14:paraId="0E13A8D9">
      <w:pPr>
        <w:widowControl/>
        <w:numPr>
          <w:ilvl w:val="0"/>
          <w:numId w:val="0"/>
        </w:numPr>
        <w:spacing w:line="360" w:lineRule="auto"/>
        <w:ind w:leftChars="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1.11.3仪器的名称、型号必须与上述证书相吻合。</w:t>
      </w:r>
    </w:p>
    <w:p w14:paraId="044433E4">
      <w:pPr>
        <w:pStyle w:val="3"/>
        <w:bidi w:val="0"/>
      </w:pPr>
      <w:bookmarkStart w:id="18" w:name="_Toc128871058"/>
      <w:bookmarkStart w:id="19" w:name="_Toc31476"/>
      <w:r>
        <w:rPr>
          <w:rFonts w:hint="eastAsia"/>
          <w:lang w:val="en-US" w:eastAsia="zh-CN"/>
        </w:rPr>
        <w:t>2、</w:t>
      </w:r>
      <w:bookmarkEnd w:id="18"/>
      <w:r>
        <w:t>CEMS 生产商资格要求</w:t>
      </w:r>
      <w:bookmarkEnd w:id="19"/>
    </w:p>
    <w:p w14:paraId="55CF4F4A">
      <w:pPr>
        <w:widowControl/>
        <w:numPr>
          <w:ilvl w:val="0"/>
          <w:numId w:val="0"/>
        </w:numPr>
        <w:spacing w:line="360" w:lineRule="auto"/>
        <w:ind w:leftChars="0"/>
        <w:rPr>
          <w:rFonts w:hint="eastAsia" w:ascii="仿宋" w:hAnsi="仿宋" w:eastAsia="仿宋"/>
          <w:kern w:val="0"/>
          <w:sz w:val="24"/>
          <w:szCs w:val="24"/>
          <w:lang w:val="en-US" w:eastAsia="zh-CN"/>
        </w:rPr>
      </w:pPr>
      <w:bookmarkStart w:id="20" w:name="_Toc128871059"/>
      <w:bookmarkStart w:id="21" w:name="_Toc78608766"/>
      <w:bookmarkStart w:id="22" w:name="_Toc519862993"/>
      <w:bookmarkStart w:id="23" w:name="_Toc75106611"/>
      <w:bookmarkStart w:id="24" w:name="_Toc128868952"/>
      <w:bookmarkStart w:id="25" w:name="_Toc11761775"/>
      <w:bookmarkStart w:id="26" w:name="_Toc515705601"/>
      <w:r>
        <w:rPr>
          <w:rFonts w:hint="eastAsia" w:ascii="仿宋" w:hAnsi="仿宋" w:eastAsia="仿宋"/>
          <w:kern w:val="0"/>
          <w:sz w:val="24"/>
          <w:szCs w:val="24"/>
          <w:lang w:val="en-US" w:eastAsia="zh-CN"/>
        </w:rPr>
        <w:t>2.1具有独立订立合同的权利和履行合同的能力，依法取得营业执照，营业执照处于有效期，营业执照、税务登记证、组织机构代码证三证齐全。为增值税一般纳税人，在近三年参加的其他采购活动中，没有违法记录。</w:t>
      </w:r>
    </w:p>
    <w:p w14:paraId="77C7B9E2">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2.2设备厂家具有质量管理体系认证证书，职业健康安全管理体系认证证书，环境管理体系认证证书均在有效期内。</w:t>
      </w:r>
    </w:p>
    <w:p w14:paraId="6A8DBB3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2.3设备厂家需提供 CEMS 系统的环保认证证书CCEP,  国家环境保护总局环境监测仪器质量监督检验中心出具的适用性检验合格报告均在有效期内。</w:t>
      </w:r>
    </w:p>
    <w:p w14:paraId="4520631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2.4设备厂家具有自主知识产权(提供证明),能够承担设备的 维修、维护服务。服务人员具有行业颁发的从业证书。</w:t>
      </w:r>
    </w:p>
    <w:p w14:paraId="1F68472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2.5所提供的烟气在线监测系统应有型式批准证书CPA、环保证书 CCEP(必需满足HJ/75-2017 最新要求、须完全满足2026年1月1日实施的HJ212-2025《 污染物自动监测监控系统数据传输要求》)、必须是通过国家环保部环境监测仪器质量监督检验中心适用性检测合格报告，并在有效期内。</w:t>
      </w:r>
    </w:p>
    <w:p w14:paraId="56660C5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2.6投标方提供的设备(分析系统品牌：</w:t>
      </w:r>
      <w:r>
        <w:rPr>
          <w:rFonts w:hint="eastAsia" w:ascii="仿宋" w:hAnsi="仿宋" w:eastAsia="仿宋"/>
          <w:sz w:val="24"/>
          <w:szCs w:val="24"/>
          <w:lang w:val="en-US" w:eastAsia="zh-CN"/>
        </w:rPr>
        <w:t>安荣信、雪迪龙、聚光、SICK</w:t>
      </w:r>
      <w:r>
        <w:rPr>
          <w:rFonts w:ascii="仿宋" w:hAnsi="仿宋" w:eastAsia="仿宋"/>
          <w:sz w:val="24"/>
          <w:szCs w:val="24"/>
        </w:rPr>
        <w:t>)是全新的和先进的，并经过至少</w:t>
      </w:r>
      <w:r>
        <w:rPr>
          <w:rFonts w:hint="eastAsia" w:ascii="仿宋" w:hAnsi="仿宋" w:eastAsia="仿宋"/>
          <w:sz w:val="24"/>
          <w:szCs w:val="24"/>
          <w:lang w:val="en-US" w:eastAsia="zh-CN"/>
        </w:rPr>
        <w:t>5</w:t>
      </w:r>
      <w:r>
        <w:rPr>
          <w:rFonts w:ascii="仿宋" w:hAnsi="仿宋" w:eastAsia="仿宋"/>
          <w:sz w:val="24"/>
          <w:szCs w:val="24"/>
        </w:rPr>
        <w:t>套行业同类型CEMS 系统运行</w:t>
      </w:r>
      <w:r>
        <w:rPr>
          <w:rFonts w:hint="eastAsia" w:ascii="仿宋" w:hAnsi="仿宋" w:eastAsia="仿宋"/>
          <w:sz w:val="24"/>
          <w:szCs w:val="24"/>
          <w:lang w:eastAsia="zh-CN"/>
        </w:rPr>
        <w:t>。</w:t>
      </w:r>
      <w:r>
        <w:rPr>
          <w:rFonts w:ascii="仿宋" w:hAnsi="仿宋" w:eastAsia="仿宋"/>
          <w:sz w:val="24"/>
          <w:szCs w:val="24"/>
        </w:rPr>
        <w:t>2年以上成功运行并实践，证明是完全成熟可靠的产品。</w:t>
      </w:r>
    </w:p>
    <w:p w14:paraId="0E5B3B4F">
      <w:pPr>
        <w:pStyle w:val="3"/>
        <w:bidi w:val="0"/>
      </w:pPr>
      <w:bookmarkStart w:id="27" w:name="_Toc10898"/>
      <w:r>
        <w:t>3</w:t>
      </w:r>
      <w:r>
        <w:rPr>
          <w:rFonts w:hint="eastAsia"/>
          <w:lang w:eastAsia="zh-CN"/>
        </w:rPr>
        <w:t>、</w:t>
      </w:r>
      <w:r>
        <w:t>引用的规范和标准</w:t>
      </w:r>
      <w:bookmarkEnd w:id="27"/>
    </w:p>
    <w:p w14:paraId="3FE5FAD1"/>
    <w:p w14:paraId="44FCD559">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本技术要求中涉及的所有规范、标准或材料规格均为最新版本， 即以买方发出本CEMS 订单之日作为采用最新版本的截止日期。若发 现本技术要求与参照的文献之间有不一致之处，卖方应向买方指明。</w:t>
      </w:r>
    </w:p>
    <w:p w14:paraId="2402FAA7">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引用的规范和标准：</w:t>
      </w:r>
    </w:p>
    <w:tbl>
      <w:tblPr>
        <w:tblStyle w:val="234"/>
        <w:tblW w:w="83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5929"/>
      </w:tblGrid>
      <w:tr w14:paraId="0331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382" w:type="dxa"/>
            <w:vAlign w:val="top"/>
          </w:tcPr>
          <w:p w14:paraId="2A2F0D4D">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DB41/1066-2020</w:t>
            </w:r>
          </w:p>
        </w:tc>
        <w:tc>
          <w:tcPr>
            <w:tcW w:w="5929" w:type="dxa"/>
            <w:vAlign w:val="top"/>
          </w:tcPr>
          <w:p w14:paraId="51BDAD3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工业炉窑大气污染物排放标准</w:t>
            </w:r>
          </w:p>
        </w:tc>
      </w:tr>
      <w:tr w14:paraId="17FA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82" w:type="dxa"/>
            <w:vAlign w:val="top"/>
          </w:tcPr>
          <w:p w14:paraId="37701C13">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GB/T16157-1996</w:t>
            </w:r>
          </w:p>
        </w:tc>
        <w:tc>
          <w:tcPr>
            <w:tcW w:w="5929" w:type="dxa"/>
            <w:vAlign w:val="top"/>
          </w:tcPr>
          <w:p w14:paraId="08081FA3">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固定污染源排气中颗粒物测定与气态污染物采样方法</w:t>
            </w:r>
          </w:p>
        </w:tc>
      </w:tr>
      <w:tr w14:paraId="2D5B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5DEEDCA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HJ/T47-1999</w:t>
            </w:r>
          </w:p>
        </w:tc>
        <w:tc>
          <w:tcPr>
            <w:tcW w:w="5929" w:type="dxa"/>
            <w:vAlign w:val="top"/>
          </w:tcPr>
          <w:p w14:paraId="2448640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烟气采样器技术条件</w:t>
            </w:r>
          </w:p>
        </w:tc>
      </w:tr>
      <w:tr w14:paraId="57259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82" w:type="dxa"/>
            <w:vAlign w:val="top"/>
          </w:tcPr>
          <w:p w14:paraId="3F3643E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HJ/T48-1999</w:t>
            </w:r>
          </w:p>
        </w:tc>
        <w:tc>
          <w:tcPr>
            <w:tcW w:w="5929" w:type="dxa"/>
            <w:vAlign w:val="top"/>
          </w:tcPr>
          <w:p w14:paraId="4FCA72CB">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烟尘采样器技术条件</w:t>
            </w:r>
          </w:p>
        </w:tc>
      </w:tr>
      <w:tr w14:paraId="194D3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5313CFC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GB3101-86</w:t>
            </w:r>
          </w:p>
        </w:tc>
        <w:tc>
          <w:tcPr>
            <w:tcW w:w="5929" w:type="dxa"/>
            <w:vAlign w:val="top"/>
          </w:tcPr>
          <w:p w14:paraId="3783B99A">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有关量、单位和符号的一般原则</w:t>
            </w:r>
          </w:p>
        </w:tc>
      </w:tr>
      <w:tr w14:paraId="0B05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3CB876E0">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GB11920-89</w:t>
            </w:r>
          </w:p>
        </w:tc>
        <w:tc>
          <w:tcPr>
            <w:tcW w:w="5929" w:type="dxa"/>
            <w:vAlign w:val="top"/>
          </w:tcPr>
          <w:p w14:paraId="6E334C5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电站电气部分集中控制装置通用技术条件</w:t>
            </w:r>
          </w:p>
        </w:tc>
      </w:tr>
      <w:tr w14:paraId="089C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82" w:type="dxa"/>
            <w:vAlign w:val="top"/>
          </w:tcPr>
          <w:p w14:paraId="3BC1818F">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SDJ9-87</w:t>
            </w:r>
          </w:p>
        </w:tc>
        <w:tc>
          <w:tcPr>
            <w:tcW w:w="5929" w:type="dxa"/>
            <w:vAlign w:val="top"/>
          </w:tcPr>
          <w:p w14:paraId="58ED0274">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测量仪表装置设计技术规程</w:t>
            </w:r>
          </w:p>
        </w:tc>
      </w:tr>
      <w:tr w14:paraId="48C4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4602C0AD">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NEMA-ICS4</w:t>
            </w:r>
          </w:p>
        </w:tc>
        <w:tc>
          <w:tcPr>
            <w:tcW w:w="5929" w:type="dxa"/>
            <w:vAlign w:val="top"/>
          </w:tcPr>
          <w:p w14:paraId="457CBA15">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工业控制设备及系统的端子板</w:t>
            </w:r>
          </w:p>
        </w:tc>
      </w:tr>
      <w:tr w14:paraId="4B1D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614842C0">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NEMA-ICS6</w:t>
            </w:r>
          </w:p>
        </w:tc>
        <w:tc>
          <w:tcPr>
            <w:tcW w:w="5929" w:type="dxa"/>
            <w:vAlign w:val="top"/>
          </w:tcPr>
          <w:p w14:paraId="5B159EE0">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工业控制装置及系统的外壳</w:t>
            </w:r>
          </w:p>
        </w:tc>
      </w:tr>
      <w:tr w14:paraId="0E0A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382" w:type="dxa"/>
            <w:vAlign w:val="top"/>
          </w:tcPr>
          <w:p w14:paraId="499045CB">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HJ75-2017</w:t>
            </w:r>
          </w:p>
        </w:tc>
        <w:tc>
          <w:tcPr>
            <w:tcW w:w="5929" w:type="dxa"/>
            <w:vAlign w:val="top"/>
          </w:tcPr>
          <w:p w14:paraId="4DAE896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固定污染源烟气(S02、NOX、颗粒物)排放连续监测技</w:t>
            </w:r>
          </w:p>
          <w:p w14:paraId="71F1638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术规范</w:t>
            </w:r>
          </w:p>
        </w:tc>
      </w:tr>
      <w:tr w14:paraId="64B4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82" w:type="dxa"/>
            <w:vAlign w:val="top"/>
          </w:tcPr>
          <w:p w14:paraId="74AAC84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HJ76-2017</w:t>
            </w:r>
          </w:p>
        </w:tc>
        <w:tc>
          <w:tcPr>
            <w:tcW w:w="5929" w:type="dxa"/>
            <w:vAlign w:val="top"/>
          </w:tcPr>
          <w:p w14:paraId="6C902666">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固定污染源烟气(SO2、NOX、颗粒物)排放连续监测系</w:t>
            </w:r>
          </w:p>
          <w:p w14:paraId="69C673D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统技术要求及检测方法</w:t>
            </w:r>
          </w:p>
        </w:tc>
      </w:tr>
      <w:tr w14:paraId="5E1D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82" w:type="dxa"/>
            <w:vAlign w:val="top"/>
          </w:tcPr>
          <w:p w14:paraId="21C25D90">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GB3095-2012</w:t>
            </w:r>
          </w:p>
        </w:tc>
        <w:tc>
          <w:tcPr>
            <w:tcW w:w="5929" w:type="dxa"/>
            <w:vAlign w:val="top"/>
          </w:tcPr>
          <w:p w14:paraId="472BF7D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环境空气质量标准</w:t>
            </w:r>
          </w:p>
        </w:tc>
      </w:tr>
      <w:tr w14:paraId="6A791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382" w:type="dxa"/>
            <w:vAlign w:val="top"/>
          </w:tcPr>
          <w:p w14:paraId="380B1A52">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豫环办[2021]79号</w:t>
            </w:r>
          </w:p>
        </w:tc>
        <w:tc>
          <w:tcPr>
            <w:tcW w:w="5929" w:type="dxa"/>
            <w:vAlign w:val="top"/>
          </w:tcPr>
          <w:p w14:paraId="53175A94">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关于做好全省重点单位自动监控装置安装联网相关工作</w:t>
            </w:r>
          </w:p>
          <w:p w14:paraId="7A260AFA">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的通知</w:t>
            </w:r>
          </w:p>
        </w:tc>
      </w:tr>
    </w:tbl>
    <w:p w14:paraId="721C9D75">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卖方可提出其它相当的替代标准，但需经买方确认。</w:t>
      </w:r>
    </w:p>
    <w:p w14:paraId="6ABE2229">
      <w:pPr>
        <w:pStyle w:val="3"/>
        <w:bidi w:val="0"/>
      </w:pPr>
      <w:bookmarkStart w:id="28" w:name="_Toc20597"/>
      <w:r>
        <w:t>4</w:t>
      </w:r>
      <w:r>
        <w:rPr>
          <w:rFonts w:hint="eastAsia"/>
          <w:lang w:eastAsia="zh-CN"/>
        </w:rPr>
        <w:t>、</w:t>
      </w:r>
      <w:r>
        <w:t>技术要求</w:t>
      </w:r>
      <w:bookmarkEnd w:id="28"/>
    </w:p>
    <w:p w14:paraId="74E1C830">
      <w:pPr>
        <w:pStyle w:val="4"/>
        <w:bidi w:val="0"/>
      </w:pPr>
      <w:bookmarkStart w:id="29" w:name="_Toc23816"/>
      <w:r>
        <w:t>4</w:t>
      </w:r>
      <w:r>
        <w:rPr>
          <w:rFonts w:hint="eastAsia"/>
          <w:lang w:val="en-US" w:eastAsia="zh-CN"/>
        </w:rPr>
        <w:t>.</w:t>
      </w:r>
      <w:r>
        <w:t>1总则</w:t>
      </w:r>
      <w:bookmarkEnd w:id="29"/>
    </w:p>
    <w:p w14:paraId="3BBC66FB">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设备名称：烟气连续监测系统(简称CEMS)。</w:t>
      </w:r>
    </w:p>
    <w:p w14:paraId="75937F8C">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监测对象：烟囱尾气：主要污染物排放因子为颗粒物、NOx 和 SO2</w:t>
      </w:r>
    </w:p>
    <w:p w14:paraId="6F55E33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安装台(套)数：</w:t>
      </w:r>
      <w:r>
        <w:rPr>
          <w:rFonts w:hint="eastAsia" w:ascii="仿宋" w:hAnsi="仿宋" w:eastAsia="仿宋"/>
          <w:sz w:val="24"/>
          <w:szCs w:val="24"/>
          <w:lang w:val="en-US" w:eastAsia="zh-CN"/>
        </w:rPr>
        <w:t>5</w:t>
      </w:r>
      <w:r>
        <w:rPr>
          <w:rFonts w:ascii="仿宋" w:hAnsi="仿宋" w:eastAsia="仿宋"/>
          <w:sz w:val="24"/>
          <w:szCs w:val="24"/>
        </w:rPr>
        <w:t xml:space="preserve"> 套</w:t>
      </w:r>
    </w:p>
    <w:p w14:paraId="583C732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监测项目：SO₂、NOx、O₂、烟尘浓度、温度、压力、烟气流量、湿度</w:t>
      </w:r>
      <w:r>
        <w:rPr>
          <w:rFonts w:hint="eastAsia" w:ascii="仿宋" w:hAnsi="仿宋" w:eastAsia="仿宋"/>
          <w:sz w:val="24"/>
          <w:szCs w:val="24"/>
          <w:lang w:eastAsia="zh-CN"/>
        </w:rPr>
        <w:t>（</w:t>
      </w:r>
      <w:r>
        <w:rPr>
          <w:rFonts w:hint="eastAsia" w:ascii="仿宋" w:hAnsi="仿宋" w:eastAsia="仿宋"/>
          <w:sz w:val="24"/>
          <w:szCs w:val="24"/>
          <w:lang w:val="en-US" w:eastAsia="zh-CN"/>
        </w:rPr>
        <w:t>1套</w:t>
      </w:r>
      <w:r>
        <w:rPr>
          <w:rFonts w:hint="eastAsia" w:ascii="仿宋" w:hAnsi="仿宋" w:eastAsia="仿宋"/>
          <w:sz w:val="24"/>
          <w:szCs w:val="24"/>
          <w:lang w:eastAsia="zh-CN"/>
        </w:rPr>
        <w:t>）</w:t>
      </w:r>
      <w:r>
        <w:rPr>
          <w:rFonts w:ascii="仿宋" w:hAnsi="仿宋" w:eastAsia="仿宋"/>
          <w:sz w:val="24"/>
          <w:szCs w:val="24"/>
        </w:rPr>
        <w:t>。</w:t>
      </w:r>
    </w:p>
    <w:p w14:paraId="5247D73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监测项目：SO₂、O₂、烟尘浓度、温度、压力、烟气流量、湿度</w:t>
      </w:r>
      <w:r>
        <w:rPr>
          <w:rFonts w:hint="eastAsia" w:ascii="仿宋" w:hAnsi="仿宋" w:eastAsia="仿宋"/>
          <w:sz w:val="24"/>
          <w:szCs w:val="24"/>
          <w:lang w:eastAsia="zh-CN"/>
        </w:rPr>
        <w:t>（</w:t>
      </w:r>
      <w:r>
        <w:rPr>
          <w:rFonts w:hint="eastAsia" w:ascii="仿宋" w:hAnsi="仿宋" w:eastAsia="仿宋"/>
          <w:sz w:val="24"/>
          <w:szCs w:val="24"/>
          <w:lang w:val="en-US" w:eastAsia="zh-CN"/>
        </w:rPr>
        <w:t>4套</w:t>
      </w:r>
      <w:r>
        <w:rPr>
          <w:rFonts w:hint="eastAsia" w:ascii="仿宋" w:hAnsi="仿宋" w:eastAsia="仿宋"/>
          <w:sz w:val="24"/>
          <w:szCs w:val="24"/>
          <w:lang w:eastAsia="zh-CN"/>
        </w:rPr>
        <w:t>）</w:t>
      </w:r>
      <w:r>
        <w:rPr>
          <w:rFonts w:ascii="仿宋" w:hAnsi="仿宋" w:eastAsia="仿宋"/>
          <w:sz w:val="24"/>
          <w:szCs w:val="24"/>
        </w:rPr>
        <w:t>。</w:t>
      </w:r>
    </w:p>
    <w:p w14:paraId="1111F1C9">
      <w:pPr>
        <w:pStyle w:val="4"/>
        <w:bidi w:val="0"/>
      </w:pPr>
      <w:bookmarkStart w:id="30" w:name="_Toc10062"/>
      <w:r>
        <w:t>4.2 系统组成</w:t>
      </w:r>
      <w:bookmarkEnd w:id="30"/>
    </w:p>
    <w:p w14:paraId="0090255B">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气态污染物监测子系统、烟气连续监测系统由烟尘浓度监测子系 统、烟气排放参数(烟气温度、压力、流量、氧量)监测子系统和数据采集处理系统 (DAS) 组成。通过加热采样测定烟气中上述监测项 目的实时数据，并能集中采集、处理、存储和输出，并能够满足环境保护局的联网要求。</w:t>
      </w:r>
    </w:p>
    <w:p w14:paraId="24370E40">
      <w:pPr>
        <w:pStyle w:val="4"/>
        <w:bidi w:val="0"/>
      </w:pPr>
      <w:bookmarkStart w:id="31" w:name="_Toc30830"/>
      <w:r>
        <w:t>4.3 SO2\NOX 气态污染物监测系统要求</w:t>
      </w:r>
      <w:bookmarkEnd w:id="31"/>
    </w:p>
    <w:p w14:paraId="0FF062E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 测量原理：紫外吸收法</w:t>
      </w:r>
    </w:p>
    <w:p w14:paraId="78AB9E8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★取样方式：直接加热抽取法，干基测量。(仪表内可以内置氧传感器，无需另外提供氧量测量装置)。</w:t>
      </w:r>
    </w:p>
    <w:p w14:paraId="01DAC7BC">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量程要求：</w:t>
      </w:r>
    </w:p>
    <w:p w14:paraId="716BB8F0">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卖方提供的仪表应具有双量程或多量程切换功能，其最小量程应满足本工程及国家超低排放的的要求(低量程和高量程设置应 满足豫环办[2021]79号文件关于量程设置要求)。</w:t>
      </w:r>
    </w:p>
    <w:p w14:paraId="7A5C7E6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SO2:0-75-300  mg/Nm3 (双量程切换)</w:t>
      </w:r>
    </w:p>
    <w:p w14:paraId="2FF11AA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NO:0-75-300mg/Nm3  (双量程切换)</w:t>
      </w:r>
    </w:p>
    <w:p w14:paraId="1C46002D">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NO2:0-100-300  mg/Nm3 (双量程切换，单独测量，不能有氮氧化物转换器)</w:t>
      </w:r>
    </w:p>
    <w:p w14:paraId="2AF17D24">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0₂: 0-5-25 VOL%(双量程切换)</w:t>
      </w:r>
    </w:p>
    <w:p w14:paraId="6532D2B3">
      <w:pPr>
        <w:widowControl/>
        <w:numPr>
          <w:ilvl w:val="0"/>
          <w:numId w:val="0"/>
        </w:numPr>
        <w:spacing w:line="360" w:lineRule="auto"/>
        <w:ind w:leftChars="0"/>
        <w:rPr>
          <w:rFonts w:ascii="仿宋" w:hAnsi="仿宋" w:eastAsia="仿宋" w:cs="仿宋"/>
          <w:sz w:val="27"/>
          <w:szCs w:val="27"/>
        </w:rPr>
      </w:pPr>
      <w:r>
        <w:rPr>
          <w:rFonts w:ascii="仿宋" w:hAnsi="仿宋" w:eastAsia="仿宋"/>
          <w:sz w:val="24"/>
          <w:szCs w:val="24"/>
        </w:rPr>
        <w:t>校准方式：卖方提供的气体分析仪应具有使用空气自动标定功能，</w:t>
      </w:r>
    </w:p>
    <w:p w14:paraId="6182523A">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并能在标定过程中对测量数据做相应的标记状态。</w:t>
      </w:r>
    </w:p>
    <w:p w14:paraId="63D28E3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跨度偏移：&lt;1%最小测量值/周</w:t>
      </w:r>
    </w:p>
    <w:p w14:paraId="52790523">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响应时间(在自动模式中):≤10S</w:t>
      </w:r>
    </w:p>
    <w:p w14:paraId="229CA87E">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线性度：±满刻度的1%</w:t>
      </w:r>
    </w:p>
    <w:p w14:paraId="64FE7C5F">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操作温度：5—45℃(可在0—45℃的范围内安全操作)</w:t>
      </w:r>
    </w:p>
    <w:p w14:paraId="21BF7B2A">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样品流速：2L/min</w:t>
      </w:r>
    </w:p>
    <w:p w14:paraId="1C98B524">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分析仪测量数据应自动换算成干基浓度值，以满足国家环保的相关要求。带“★”为强制性要求，不能减少和取消该功能。</w:t>
      </w:r>
    </w:p>
    <w:p w14:paraId="7F9FFF5D">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4.3.1  采样探头的要求：</w:t>
      </w:r>
    </w:p>
    <w:p w14:paraId="1435E2E6">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采用自动温度监测的外部电加热采样设备。使用加热自动调节单元，最高可加热至180℃,避免冷凝、 SO2 溶解带来的腐蚀和测量误差问题。</w:t>
      </w:r>
    </w:p>
    <w:p w14:paraId="4AA9AB0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采样探杆应选用加热型采样探杆，温度控制不低于140℃。</w:t>
      </w:r>
    </w:p>
    <w:p w14:paraId="5D5F9FB3">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采样探头的过滤：采用5μ的钛合金过滤器或其它防腐蚀产品，适合再生铝烟气环境。</w:t>
      </w:r>
    </w:p>
    <w:p w14:paraId="208C0A33">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报警及连锁：采样探头应设置温度显示及失控报警装置，即当温度低于设置温度时输出报警信号至DCS 同时并停止系统采样，以免损坏测量仪表。</w:t>
      </w:r>
    </w:p>
    <w:p w14:paraId="10DF978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采样探头的反清洗：为保证吹扫压力采样探头内应设置一个用于</w:t>
      </w:r>
    </w:p>
    <w:p w14:paraId="39938F4A">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吹扫的压缩空气缓冲储气罐。气体缓冲气罐的容积不应小于5L。</w:t>
      </w:r>
    </w:p>
    <w:p w14:paraId="5EDCB810">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采样探头具备压缩空气过滤减压阀，过滤压缩空气中的粉尘和少量水份。</w:t>
      </w:r>
    </w:p>
    <w:p w14:paraId="40168AF5">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4.3.2  采样线的要求</w:t>
      </w:r>
    </w:p>
    <w:p w14:paraId="43344993">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卖方为每套系统提供一根聚四氧乙烯线用于烟气采样。每个采样线应为一个包，连续长度供货，单个采样线内部没有拼接。采样线的长度为从分析仪器至采样点。采样管线中应包含一根F8mm 的采样管路和一根全系统校正管路及一根PT100 温度测量管路，保证整根采样管线的温度在140 度及以上，采样系统校正由CEMS 分析机柜开始通入标准气，进入采样探头滤芯前端后，经样品管路及预处理装置后进 入分析仪测量，整个测量响应时间 T90≤120S. 包括系统所有部件直至分析仪器。校正气线在两倍于正常校正气运行压力下保证无泄漏。</w:t>
      </w:r>
    </w:p>
    <w:p w14:paraId="16048321">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4.3.3  预处理部件及功能的要求</w:t>
      </w:r>
    </w:p>
    <w:p w14:paraId="4B30BFF1">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卖方提供的预处理系统应式成熟可靠并经过测试的成熟产品，并能满足气体测量仪表的长期稳定工作的要求，至少应具有除尘、除水、流量调节、快速回路、仪表标定回路等功能。</w:t>
      </w:r>
    </w:p>
    <w:p w14:paraId="1FF8C6BE">
      <w:pPr>
        <w:pStyle w:val="4"/>
        <w:bidi w:val="0"/>
      </w:pPr>
      <w:bookmarkStart w:id="32" w:name="_Toc13669"/>
      <w:r>
        <w:t>4.</w:t>
      </w:r>
      <w:r>
        <w:rPr>
          <w:rFonts w:hint="eastAsia"/>
          <w:lang w:val="en-US" w:eastAsia="zh-CN"/>
        </w:rPr>
        <w:t>4</w:t>
      </w:r>
      <w:r>
        <w:t xml:space="preserve"> 烟尘连续监测系统技术性能要求</w:t>
      </w:r>
      <w:bookmarkEnd w:id="32"/>
    </w:p>
    <w:p w14:paraId="60B2256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★本工程为超低排放工程，卖方所提供的粉尘测量系统应保证能在高湿度、低浓度等恶劣环境下进行准确稳定测量。</w:t>
      </w:r>
      <w:r>
        <w:rPr>
          <w:rFonts w:hint="eastAsia" w:ascii="仿宋" w:hAnsi="仿宋" w:eastAsia="仿宋"/>
          <w:sz w:val="24"/>
          <w:szCs w:val="24"/>
          <w:lang w:val="en-US" w:eastAsia="zh-CN"/>
        </w:rPr>
        <w:t>粉尘仪自带风机取样功能，不允许压缩空气负压取样，防止因压缩空气不稳定造成粉尘仪数据不稳定。</w:t>
      </w:r>
    </w:p>
    <w:p w14:paraId="1B574DD9">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测量方法：抽取式+激光前向散射法</w:t>
      </w:r>
    </w:p>
    <w:p w14:paraId="36D2AF51">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探杆：加热型</w:t>
      </w:r>
    </w:p>
    <w:p w14:paraId="56D74588">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★测量范围：0-20-50mg/m3, 具备双量程切换功能及等速采样功 能，具备数据直连数采仪通讯功能，满足新212 标准相关传输要求。</w:t>
      </w:r>
    </w:p>
    <w:p w14:paraId="212E7F3D">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测量精度：不大于满量程2%</w:t>
      </w:r>
    </w:p>
    <w:p w14:paraId="4736F2EC">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校正方式：定时自动零点及量程校正</w:t>
      </w:r>
    </w:p>
    <w:p w14:paraId="5C479404">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烟气湿度： &gt;100% RH (含液态水)</w:t>
      </w:r>
    </w:p>
    <w:p w14:paraId="395362E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烟气温度：&lt;300°C</w:t>
      </w:r>
    </w:p>
    <w:p w14:paraId="6AA9C827">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探头材料：316Ti  不锈钢，optionally     Hastelloy哈氏镍金</w:t>
      </w:r>
    </w:p>
    <w:p w14:paraId="16250DE9">
      <w:pPr>
        <w:widowControl/>
        <w:numPr>
          <w:ilvl w:val="0"/>
          <w:numId w:val="0"/>
        </w:numPr>
        <w:spacing w:line="360" w:lineRule="auto"/>
        <w:ind w:firstLine="480" w:firstLineChars="200"/>
        <w:rPr>
          <w:rFonts w:ascii="仿宋" w:hAnsi="仿宋" w:eastAsia="仿宋"/>
          <w:sz w:val="24"/>
          <w:szCs w:val="24"/>
        </w:rPr>
      </w:pPr>
      <w:r>
        <w:rPr>
          <w:rFonts w:ascii="仿宋" w:hAnsi="仿宋" w:eastAsia="仿宋"/>
          <w:sz w:val="24"/>
          <w:szCs w:val="24"/>
        </w:rPr>
        <w:t>防腐等级：IP65</w:t>
      </w:r>
    </w:p>
    <w:p w14:paraId="72FBC268">
      <w:pPr>
        <w:widowControl/>
        <w:numPr>
          <w:ilvl w:val="0"/>
          <w:numId w:val="0"/>
        </w:numPr>
        <w:spacing w:line="360" w:lineRule="auto"/>
        <w:ind w:firstLine="480" w:firstLineChars="200"/>
        <w:rPr>
          <w:rFonts w:ascii="仿宋" w:hAnsi="仿宋" w:eastAsia="仿宋"/>
          <w:sz w:val="24"/>
          <w:szCs w:val="24"/>
        </w:rPr>
      </w:pPr>
      <w:r>
        <w:rPr>
          <w:rFonts w:ascii="仿宋" w:hAnsi="仿宋" w:eastAsia="仿宋"/>
          <w:sz w:val="24"/>
          <w:szCs w:val="24"/>
        </w:rPr>
        <w:t>带“★”为强制性要求，不能减少和取消该功能。</w:t>
      </w:r>
    </w:p>
    <w:p w14:paraId="38383513">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卖方提供的的SO2\NOX 烟气在线监测系统、抽取式粉尘系统满足以上技术要求外还应具有以下证书：</w:t>
      </w:r>
    </w:p>
    <w:p w14:paraId="2F037249">
      <w:pPr>
        <w:widowControl/>
        <w:numPr>
          <w:ilvl w:val="0"/>
          <w:numId w:val="0"/>
        </w:numPr>
        <w:spacing w:line="360" w:lineRule="auto"/>
        <w:ind w:firstLine="480" w:firstLineChars="200"/>
        <w:rPr>
          <w:rFonts w:ascii="仿宋" w:hAnsi="仿宋" w:eastAsia="仿宋"/>
          <w:sz w:val="24"/>
          <w:szCs w:val="24"/>
        </w:rPr>
      </w:pPr>
      <w:r>
        <w:rPr>
          <w:rFonts w:ascii="仿宋" w:hAnsi="仿宋" w:eastAsia="仿宋"/>
          <w:sz w:val="24"/>
          <w:szCs w:val="24"/>
        </w:rPr>
        <w:t>国家环境保护产品认证证书(按照HJ76-2017 规范取得认证，提供证书)</w:t>
      </w:r>
    </w:p>
    <w:p w14:paraId="37256F8D">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国家环境保护部环境监测仪器质量监督检验中心出具的产品</w:t>
      </w:r>
    </w:p>
    <w:p w14:paraId="28ABEB87">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实用性监测报告(按照HJ76-2017 规范检测，提供检测报告)</w:t>
      </w:r>
    </w:p>
    <w:p w14:paraId="6E3A035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注：仪器的名称、型号必须与上述证书相吻合。</w:t>
      </w:r>
    </w:p>
    <w:p w14:paraId="507DA348">
      <w:pPr>
        <w:pStyle w:val="4"/>
        <w:bidi w:val="0"/>
      </w:pPr>
      <w:bookmarkStart w:id="33" w:name="_Toc27877"/>
      <w:r>
        <w:t>4.</w:t>
      </w:r>
      <w:r>
        <w:rPr>
          <w:rFonts w:hint="eastAsia"/>
          <w:lang w:val="en-US" w:eastAsia="zh-CN"/>
        </w:rPr>
        <w:t>5</w:t>
      </w:r>
      <w:r>
        <w:t xml:space="preserve"> 烟气参数测量烟气排放参数(温度、压力、流量)连续测量</w:t>
      </w:r>
      <w:bookmarkEnd w:id="33"/>
    </w:p>
    <w:p w14:paraId="6D356909"/>
    <w:p w14:paraId="28399A49">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温度、压力、流量测量仪安装在同一个法兰上，建议采用温压流一体化测量仪。</w:t>
      </w:r>
    </w:p>
    <w:p w14:paraId="4E75BF0C">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val="en-US" w:eastAsia="zh-CN"/>
        </w:rPr>
        <w:t>5</w:t>
      </w:r>
      <w:r>
        <w:rPr>
          <w:rFonts w:ascii="仿宋" w:hAnsi="仿宋" w:eastAsia="仿宋"/>
          <w:sz w:val="24"/>
          <w:szCs w:val="24"/>
        </w:rPr>
        <w:t>.1  温度测量</w:t>
      </w:r>
    </w:p>
    <w:p w14:paraId="48C1B3A2">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测量范围：0~300℃</w:t>
      </w:r>
    </w:p>
    <w:p w14:paraId="18793C04">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指示误差：±3℃</w:t>
      </w:r>
    </w:p>
    <w:p w14:paraId="67A97237">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val="en-US" w:eastAsia="zh-CN"/>
        </w:rPr>
        <w:t>5</w:t>
      </w:r>
      <w:r>
        <w:rPr>
          <w:rFonts w:ascii="仿宋" w:hAnsi="仿宋" w:eastAsia="仿宋"/>
          <w:sz w:val="24"/>
          <w:szCs w:val="24"/>
        </w:rPr>
        <w:t>.2  压力测量：</w:t>
      </w:r>
    </w:p>
    <w:p w14:paraId="080D15C5">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烟气静压</w:t>
      </w:r>
    </w:p>
    <w:p w14:paraId="028DFC49">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测量范围：-2KPa～2KPa</w:t>
      </w:r>
    </w:p>
    <w:p w14:paraId="3AF14733">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精密度：≤±3%</w:t>
      </w:r>
    </w:p>
    <w:p w14:paraId="52284928">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val="en-US" w:eastAsia="zh-CN"/>
        </w:rPr>
        <w:t>5</w:t>
      </w:r>
      <w:r>
        <w:rPr>
          <w:rFonts w:ascii="仿宋" w:hAnsi="仿宋" w:eastAsia="仿宋"/>
          <w:sz w:val="24"/>
          <w:szCs w:val="24"/>
        </w:rPr>
        <w:t>.3  流量测量：</w:t>
      </w:r>
    </w:p>
    <w:p w14:paraId="17870D15">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测量方式：皮托管流量计</w:t>
      </w:r>
    </w:p>
    <w:p w14:paraId="25A1651B">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安装方式：插入式测量方式</w:t>
      </w:r>
    </w:p>
    <w:p w14:paraId="41F7295F">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测量范围：0-40m/s。</w:t>
      </w:r>
    </w:p>
    <w:p w14:paraId="0FE0E424">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精密度：≤±3%</w:t>
      </w:r>
    </w:p>
    <w:p w14:paraId="3F4C4858">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分辨率：0.1m/s</w:t>
      </w:r>
    </w:p>
    <w:p w14:paraId="1F6D8CDC">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直管段要求：前4D 后 2D;流速&gt;10m/s 时，相对误差不超过10%,流速≤10m/s 时，相对误差不超过12%</w:t>
      </w:r>
    </w:p>
    <w:p w14:paraId="01DE858B">
      <w:pPr>
        <w:pStyle w:val="4"/>
        <w:bidi w:val="0"/>
      </w:pPr>
      <w:bookmarkStart w:id="34" w:name="_Toc15593"/>
      <w:r>
        <w:t>4.</w:t>
      </w:r>
      <w:r>
        <w:rPr>
          <w:rFonts w:hint="eastAsia"/>
          <w:lang w:val="en-US" w:eastAsia="zh-CN"/>
        </w:rPr>
        <w:t>6</w:t>
      </w:r>
      <w:r>
        <w:t xml:space="preserve"> 系统诊断</w:t>
      </w:r>
      <w:bookmarkEnd w:id="34"/>
    </w:p>
    <w:p w14:paraId="7CCE1251"/>
    <w:p w14:paraId="2B5D9D9B">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CEMS 应具有以下诊断和报警功能：</w:t>
      </w:r>
    </w:p>
    <w:p w14:paraId="3E248C57">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依据新212 标准要求，加热探杆温度、加热采样线温度、采样探头，温度检测信号输入数据系统中，用于显示和报警及上传数采仪在分析仪器上输出一个远程显示信号用于人工检查，并且具备压缩空气压力测量和大气压力测量输出功能。</w:t>
      </w:r>
    </w:p>
    <w:p w14:paraId="44A1239A">
      <w:pPr>
        <w:pStyle w:val="4"/>
        <w:bidi w:val="0"/>
      </w:pPr>
      <w:bookmarkStart w:id="35" w:name="_Toc25671"/>
      <w:r>
        <w:t>4.</w:t>
      </w:r>
      <w:r>
        <w:rPr>
          <w:rFonts w:hint="eastAsia"/>
          <w:lang w:val="en-US" w:eastAsia="zh-CN"/>
        </w:rPr>
        <w:t>7</w:t>
      </w:r>
      <w:r>
        <w:t>系统的安装</w:t>
      </w:r>
      <w:bookmarkEnd w:id="35"/>
    </w:p>
    <w:p w14:paraId="084DABF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烟气排放监测安装在烟道内。其分析设备，安装在靠近取样点带有空调的CEMS 监测分析室中。卖方不接受烟气分析设备(仪表)就 地分散布置的方案。卖方保证至取样点的通道。气体取样探头和取样 管加热并进行恒温控制。卖方提供详细的安装详图。</w:t>
      </w:r>
    </w:p>
    <w:p w14:paraId="4E1C5192">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卖方介绍采样管线的安装方法，卖方提供详细的安装说明，包括所有在烟道上的设备如探头、脐状线和采样线，及用于土建工程师的有</w:t>
      </w:r>
    </w:p>
    <w:p w14:paraId="59897142">
      <w:pPr>
        <w:widowControl/>
        <w:numPr>
          <w:ilvl w:val="0"/>
          <w:numId w:val="0"/>
        </w:numPr>
        <w:spacing w:line="360" w:lineRule="auto"/>
        <w:ind w:leftChars="0"/>
        <w:rPr>
          <w:rFonts w:ascii="仿宋" w:hAnsi="仿宋" w:eastAsia="仿宋"/>
          <w:sz w:val="24"/>
          <w:szCs w:val="24"/>
        </w:rPr>
      </w:pPr>
      <w:r>
        <w:rPr>
          <w:rFonts w:ascii="仿宋" w:hAnsi="仿宋" w:eastAsia="仿宋"/>
          <w:sz w:val="24"/>
          <w:szCs w:val="24"/>
        </w:rPr>
        <w:t>关支架设备的设计和安装。</w:t>
      </w:r>
    </w:p>
    <w:p w14:paraId="0DECB05D">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卖方提供所有用于烟道上安装采样探头所需的部件，包括：管套、安装用法兰和/或接头、安装用托架和/或固定件以及设备部件连接定位的安装图。</w:t>
      </w:r>
    </w:p>
    <w:p w14:paraId="3269DB86">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卖方提供旁路和进口手自动切换所需的全部管件阀门等材料，保 证其切换功能可靠完善。</w:t>
      </w:r>
    </w:p>
    <w:p w14:paraId="2651B504">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卖方提供样气分配系统，用于将气体分配到各分析仪器。</w:t>
      </w:r>
    </w:p>
    <w:p w14:paraId="77F2A56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卖方提供样气抽气泵保证系统连续正常测量的需要。</w:t>
      </w:r>
    </w:p>
    <w:p w14:paraId="79A92B91">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卖方在远程通讯系统成套提供与环保局远程通讯要求表及其接口， CEMS 的接口标准与环保数采仪接口标准统一，实现数据联网上传。</w:t>
      </w:r>
    </w:p>
    <w:p w14:paraId="677F0DE1">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卖方保证所提供分析仪器在环境温度： -20-45℃,相对湿度：&lt;  90%RH, 大气压：80-106Kpa,烟气温度：&lt;260℃的环境中能正常工作。</w:t>
      </w:r>
    </w:p>
    <w:p w14:paraId="68BA7D6F">
      <w:pPr>
        <w:pStyle w:val="4"/>
        <w:bidi w:val="0"/>
      </w:pPr>
      <w:bookmarkStart w:id="36" w:name="_Toc30494"/>
      <w:r>
        <w:t>4.</w:t>
      </w:r>
      <w:r>
        <w:rPr>
          <w:rFonts w:hint="eastAsia"/>
          <w:lang w:val="en-US" w:eastAsia="zh-CN"/>
        </w:rPr>
        <w:t>8</w:t>
      </w:r>
      <w:r>
        <w:t xml:space="preserve"> 使用的材料</w:t>
      </w:r>
      <w:bookmarkEnd w:id="36"/>
    </w:p>
    <w:p w14:paraId="776953CE">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凡是与烟气或校正气接触的探头等部件满足</w:t>
      </w:r>
      <w:r>
        <w:rPr>
          <w:rFonts w:hint="eastAsia" w:ascii="仿宋" w:hAnsi="仿宋" w:eastAsia="仿宋"/>
          <w:sz w:val="24"/>
          <w:szCs w:val="24"/>
          <w:lang w:eastAsia="zh-CN"/>
        </w:rPr>
        <w:t>电解铝烟气净化</w:t>
      </w:r>
      <w:r>
        <w:rPr>
          <w:rFonts w:ascii="仿宋" w:hAnsi="仿宋" w:eastAsia="仿宋"/>
          <w:sz w:val="24"/>
          <w:szCs w:val="24"/>
        </w:rPr>
        <w:t>系统运行工况的烟气成分、温度条件下能连续可靠地运行的要求， 一般由  以下材料构成：聚四氟乙烯、玻璃、能承受300℃温度的不锈钢、耐  腐蚀和耐高温的镍基合金(316L、Hasteloy C-276)或其他耐腐蚀合金， 卖方如有特殊材料应出具新材料使用稳定性报告并征得买方同意。</w:t>
      </w:r>
    </w:p>
    <w:p w14:paraId="792B23B6">
      <w:pPr>
        <w:pStyle w:val="4"/>
        <w:bidi w:val="0"/>
      </w:pPr>
      <w:bookmarkStart w:id="37" w:name="_Toc30261"/>
      <w:r>
        <w:t>4.</w:t>
      </w:r>
      <w:r>
        <w:rPr>
          <w:rFonts w:hint="eastAsia"/>
          <w:lang w:val="en-US" w:eastAsia="zh-CN"/>
        </w:rPr>
        <w:t>9</w:t>
      </w:r>
      <w:r>
        <w:t>校正设备和标准</w:t>
      </w:r>
      <w:bookmarkEnd w:id="37"/>
    </w:p>
    <w:p w14:paraId="17A62B2D">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卖方提供CEMS 的校零、满量程校正的服务。</w:t>
      </w:r>
    </w:p>
    <w:p w14:paraId="3261F788">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卖方提供在系统启动时需要的各种校正气并满足下列要求：</w:t>
      </w:r>
    </w:p>
    <w:p w14:paraId="431A462A">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■校正气量能满足启动后正常校正1年和CEMS 72/168调试用气。</w:t>
      </w:r>
    </w:p>
    <w:p w14:paraId="06010B14">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■卖方提供的所有校正气按照使用地区环保局要求储存，一般储存在钢瓶内。</w:t>
      </w:r>
    </w:p>
    <w:p w14:paraId="0F9D10BC">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■卖方提供校正气的所在地环保局的可追朔性文件、说明其种类、 浓度和数量的文件及储气筒材料的安全数据表，它介绍储气筒和买方将来购置和储存校正气的说明，或由卖方提供国内合格的标气供应商。</w:t>
      </w:r>
    </w:p>
    <w:p w14:paraId="5EBD47D8">
      <w:pPr>
        <w:pStyle w:val="4"/>
        <w:bidi w:val="0"/>
      </w:pPr>
      <w:bookmarkStart w:id="38" w:name="_Toc6864"/>
      <w:r>
        <w:t>4.1</w:t>
      </w:r>
      <w:r>
        <w:rPr>
          <w:rFonts w:hint="eastAsia"/>
          <w:lang w:val="en-US" w:eastAsia="zh-CN"/>
        </w:rPr>
        <w:t>0</w:t>
      </w:r>
      <w:r>
        <w:t xml:space="preserve"> 交叉干扰</w:t>
      </w:r>
      <w:bookmarkEnd w:id="38"/>
    </w:p>
    <w:p w14:paraId="41BC8443">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CEMS 提供的分析仪器没有明显的干扰，即在测量单个烟气或多 种烟气成分混合时，浓度值结果差异没有一位数以上数值。当浓度值 大于满量程的0.2%或测量标定值时，分析仪器对此有反应。</w:t>
      </w:r>
    </w:p>
    <w:p w14:paraId="5813EA5F">
      <w:pPr>
        <w:pStyle w:val="4"/>
        <w:bidi w:val="0"/>
      </w:pPr>
      <w:bookmarkStart w:id="39" w:name="_Toc799"/>
      <w:r>
        <w:t>4.1</w:t>
      </w:r>
      <w:r>
        <w:rPr>
          <w:rFonts w:hint="eastAsia"/>
          <w:lang w:val="en-US" w:eastAsia="zh-CN"/>
        </w:rPr>
        <w:t>1</w:t>
      </w:r>
      <w:r>
        <w:t>反吹空气保护</w:t>
      </w:r>
      <w:bookmarkEnd w:id="39"/>
    </w:p>
    <w:p w14:paraId="34DA35FC">
      <w:pPr>
        <w:widowControl/>
        <w:numPr>
          <w:ilvl w:val="0"/>
          <w:numId w:val="0"/>
        </w:numPr>
        <w:spacing w:line="360" w:lineRule="auto"/>
        <w:ind w:leftChars="0" w:firstLine="480" w:firstLineChars="200"/>
        <w:rPr>
          <w:rFonts w:ascii="仿宋" w:hAnsi="仿宋" w:eastAsia="仿宋"/>
          <w:sz w:val="24"/>
          <w:szCs w:val="24"/>
        </w:rPr>
      </w:pPr>
      <w:r>
        <w:rPr>
          <w:rFonts w:ascii="仿宋" w:hAnsi="仿宋" w:eastAsia="仿宋"/>
          <w:sz w:val="24"/>
          <w:szCs w:val="24"/>
        </w:rPr>
        <w:t>当 CEMS 部件如采样头安装后与烟气接触时，卖方提供一套反吹空气系统，以防止烟气污染分析仪器部件。如有必要，对反吹空气风扇及有关的空气清洗设备，安装空气予热器。当反吹空气装置失效时，自动启动快速隔离门以保护监测部件。当反吹空气系统失效时，有报警信号显示在CEMS系统中。</w:t>
      </w:r>
    </w:p>
    <w:p w14:paraId="6A82A20A">
      <w:pPr>
        <w:widowControl/>
        <w:numPr>
          <w:ilvl w:val="0"/>
          <w:numId w:val="0"/>
        </w:numPr>
        <w:spacing w:line="360" w:lineRule="auto"/>
        <w:ind w:leftChars="0" w:firstLine="480" w:firstLineChars="200"/>
        <w:rPr>
          <w:rFonts w:hint="eastAsia"/>
        </w:rPr>
      </w:pPr>
      <w:r>
        <w:rPr>
          <w:rFonts w:ascii="仿宋" w:hAnsi="仿宋" w:eastAsia="仿宋"/>
          <w:sz w:val="24"/>
          <w:szCs w:val="24"/>
        </w:rPr>
        <w:t>对于加热采样系统， CEMS 具有自动清扫功能，定期自动清除取样探头和取样管路中的积灰。</w:t>
      </w:r>
    </w:p>
    <w:bookmarkEnd w:id="20"/>
    <w:bookmarkEnd w:id="21"/>
    <w:bookmarkEnd w:id="22"/>
    <w:bookmarkEnd w:id="23"/>
    <w:bookmarkEnd w:id="24"/>
    <w:bookmarkEnd w:id="25"/>
    <w:bookmarkEnd w:id="26"/>
    <w:p w14:paraId="4328FF30">
      <w:pPr>
        <w:pStyle w:val="4"/>
        <w:bidi w:val="0"/>
        <w:rPr>
          <w:rFonts w:hint="eastAsia"/>
        </w:rPr>
      </w:pPr>
      <w:bookmarkStart w:id="40" w:name="_Toc27278"/>
      <w:r>
        <w:rPr>
          <w:rFonts w:hint="eastAsia"/>
        </w:rPr>
        <w:t>4.1</w:t>
      </w:r>
      <w:r>
        <w:rPr>
          <w:rFonts w:hint="eastAsia"/>
          <w:lang w:val="en-US" w:eastAsia="zh-CN"/>
        </w:rPr>
        <w:t>2</w:t>
      </w:r>
      <w:r>
        <w:rPr>
          <w:rFonts w:hint="eastAsia"/>
        </w:rPr>
        <w:t xml:space="preserve"> 分析仪器技术参数</w:t>
      </w:r>
      <w:bookmarkEnd w:id="40"/>
    </w:p>
    <w:tbl>
      <w:tblPr>
        <w:tblStyle w:val="49"/>
        <w:tblpPr w:topFromText="180" w:bottomFromText="180" w:vertAnchor="text" w:horzAnchor="page" w:tblpXSpec="center" w:tblpY="218"/>
        <w:tblOverlap w:val="never"/>
        <w:tblW w:w="93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61"/>
        <w:gridCol w:w="789"/>
        <w:gridCol w:w="1710"/>
        <w:gridCol w:w="5862"/>
      </w:tblGrid>
      <w:tr w14:paraId="2CB11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3460" w:type="dxa"/>
            <w:gridSpan w:val="3"/>
            <w:shd w:val="pct10" w:color="auto" w:fill="FFFFFF"/>
            <w:vAlign w:val="center"/>
          </w:tcPr>
          <w:p w14:paraId="3DC36AD9">
            <w:pPr>
              <w:spacing w:line="360" w:lineRule="auto"/>
              <w:rPr>
                <w:rFonts w:hint="eastAsia" w:ascii="仿宋" w:hAnsi="仿宋" w:eastAsia="仿宋" w:cs="仿宋"/>
                <w:b/>
                <w:bCs/>
                <w:color w:val="000000"/>
                <w:sz w:val="24"/>
                <w:szCs w:val="24"/>
              </w:rPr>
            </w:pPr>
            <w:bookmarkStart w:id="41" w:name="_Toc47434747"/>
            <w:r>
              <w:rPr>
                <w:rFonts w:hint="eastAsia" w:ascii="仿宋" w:hAnsi="仿宋" w:eastAsia="仿宋" w:cs="仿宋"/>
                <w:b/>
                <w:bCs/>
                <w:color w:val="000000"/>
                <w:sz w:val="24"/>
                <w:szCs w:val="24"/>
              </w:rPr>
              <w:t>项目</w:t>
            </w:r>
          </w:p>
        </w:tc>
        <w:tc>
          <w:tcPr>
            <w:tcW w:w="5862" w:type="dxa"/>
            <w:shd w:val="pct10" w:color="auto" w:fill="FFFFFF"/>
            <w:vAlign w:val="center"/>
          </w:tcPr>
          <w:p w14:paraId="075F8EB3">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CEMS指标</w:t>
            </w:r>
          </w:p>
        </w:tc>
      </w:tr>
      <w:tr w14:paraId="7ECAE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1750" w:type="dxa"/>
            <w:gridSpan w:val="2"/>
            <w:vMerge w:val="restart"/>
            <w:shd w:val="clear" w:color="auto" w:fill="FFFFFF"/>
            <w:vAlign w:val="center"/>
          </w:tcPr>
          <w:p w14:paraId="628A80E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气态污染物</w:t>
            </w:r>
          </w:p>
          <w:p w14:paraId="79EC994C">
            <w:pPr>
              <w:spacing w:line="360" w:lineRule="auto"/>
              <w:rPr>
                <w:rFonts w:hint="eastAsia" w:ascii="仿宋" w:hAnsi="仿宋" w:eastAsia="仿宋" w:cs="仿宋"/>
                <w:color w:val="000000"/>
                <w:sz w:val="24"/>
                <w:szCs w:val="24"/>
              </w:rPr>
            </w:pPr>
          </w:p>
        </w:tc>
        <w:tc>
          <w:tcPr>
            <w:tcW w:w="1710" w:type="dxa"/>
            <w:vMerge w:val="restart"/>
            <w:shd w:val="clear" w:color="auto" w:fill="FFFFFF"/>
            <w:vAlign w:val="center"/>
          </w:tcPr>
          <w:p w14:paraId="6B0143D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测量原理</w:t>
            </w:r>
          </w:p>
        </w:tc>
        <w:tc>
          <w:tcPr>
            <w:tcW w:w="5862" w:type="dxa"/>
            <w:shd w:val="clear" w:color="auto" w:fill="FFFFFF"/>
            <w:vAlign w:val="center"/>
          </w:tcPr>
          <w:p w14:paraId="28B7390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NO、SO</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 xml:space="preserve">  紫外差分(DOAS)</w:t>
            </w:r>
          </w:p>
        </w:tc>
      </w:tr>
      <w:tr w14:paraId="69A61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2401EC05">
            <w:pPr>
              <w:spacing w:line="360" w:lineRule="auto"/>
              <w:rPr>
                <w:rFonts w:hint="eastAsia" w:ascii="仿宋" w:hAnsi="仿宋" w:eastAsia="仿宋" w:cs="仿宋"/>
                <w:color w:val="000000"/>
                <w:sz w:val="24"/>
                <w:szCs w:val="24"/>
              </w:rPr>
            </w:pPr>
          </w:p>
        </w:tc>
        <w:tc>
          <w:tcPr>
            <w:tcW w:w="1710" w:type="dxa"/>
            <w:vMerge w:val="continue"/>
            <w:shd w:val="clear" w:color="auto" w:fill="FFFFFF"/>
            <w:vAlign w:val="center"/>
          </w:tcPr>
          <w:p w14:paraId="4B58A10D">
            <w:pPr>
              <w:spacing w:line="360" w:lineRule="auto"/>
              <w:rPr>
                <w:rFonts w:hint="eastAsia" w:ascii="仿宋" w:hAnsi="仿宋" w:eastAsia="仿宋" w:cs="仿宋"/>
                <w:color w:val="000000"/>
                <w:sz w:val="24"/>
                <w:szCs w:val="24"/>
              </w:rPr>
            </w:pPr>
          </w:p>
        </w:tc>
        <w:tc>
          <w:tcPr>
            <w:tcW w:w="5862" w:type="dxa"/>
            <w:shd w:val="clear" w:color="auto" w:fill="FFFFFF"/>
            <w:vAlign w:val="center"/>
          </w:tcPr>
          <w:p w14:paraId="14E01A0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O</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 xml:space="preserve">  电化学</w:t>
            </w:r>
          </w:p>
        </w:tc>
      </w:tr>
      <w:tr w14:paraId="3088A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4" w:hRule="atLeast"/>
        </w:trPr>
        <w:tc>
          <w:tcPr>
            <w:tcW w:w="1750" w:type="dxa"/>
            <w:gridSpan w:val="2"/>
            <w:vMerge w:val="continue"/>
            <w:shd w:val="clear" w:color="auto" w:fill="FFFFFF"/>
            <w:vAlign w:val="center"/>
          </w:tcPr>
          <w:p w14:paraId="0D8858BD">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0D57FB0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SO</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量程</w:t>
            </w:r>
          </w:p>
        </w:tc>
        <w:tc>
          <w:tcPr>
            <w:tcW w:w="5862" w:type="dxa"/>
            <w:shd w:val="clear" w:color="auto" w:fill="FFFFFF"/>
            <w:vAlign w:val="center"/>
          </w:tcPr>
          <w:p w14:paraId="3607B76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(0～75,100,200)mg/m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，(0～200,…,500)mg/m，(0～500,…,2000)mg/m,可设定</w:t>
            </w:r>
          </w:p>
        </w:tc>
      </w:tr>
      <w:tr w14:paraId="38C3B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0B231AC1">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029BFCA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NO量程</w:t>
            </w:r>
          </w:p>
        </w:tc>
        <w:tc>
          <w:tcPr>
            <w:tcW w:w="5862" w:type="dxa"/>
            <w:shd w:val="clear" w:color="auto" w:fill="FFFFFF"/>
            <w:vAlign w:val="center"/>
          </w:tcPr>
          <w:p w14:paraId="753104A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(0～75,100,200)mg/m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，(0～200,…,500)mg/m，(0～500,…,2000)mg/m,可设定</w:t>
            </w:r>
          </w:p>
        </w:tc>
      </w:tr>
      <w:tr w14:paraId="38B32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37E41C9E">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662FC47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O</w:t>
            </w:r>
            <w:r>
              <w:rPr>
                <w:rFonts w:hint="eastAsia" w:ascii="仿宋" w:hAnsi="仿宋" w:eastAsia="仿宋" w:cs="仿宋"/>
                <w:color w:val="000000"/>
                <w:sz w:val="24"/>
                <w:szCs w:val="24"/>
                <w:vertAlign w:val="subscript"/>
              </w:rPr>
              <w:t>2</w:t>
            </w:r>
            <w:r>
              <w:rPr>
                <w:rFonts w:hint="eastAsia" w:ascii="仿宋" w:hAnsi="仿宋" w:eastAsia="仿宋" w:cs="仿宋"/>
                <w:color w:val="000000"/>
                <w:sz w:val="24"/>
                <w:szCs w:val="24"/>
              </w:rPr>
              <w:t>量程</w:t>
            </w:r>
          </w:p>
        </w:tc>
        <w:tc>
          <w:tcPr>
            <w:tcW w:w="5862" w:type="dxa"/>
            <w:shd w:val="clear" w:color="auto" w:fill="FFFFFF"/>
            <w:vAlign w:val="center"/>
          </w:tcPr>
          <w:p w14:paraId="787530F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(0～25)% </w:t>
            </w:r>
          </w:p>
        </w:tc>
      </w:tr>
      <w:tr w14:paraId="2628C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681218E7">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6B959BB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零点漂移</w:t>
            </w:r>
          </w:p>
        </w:tc>
        <w:tc>
          <w:tcPr>
            <w:tcW w:w="5862" w:type="dxa"/>
            <w:shd w:val="clear" w:color="auto" w:fill="FFFFFF"/>
            <w:vAlign w:val="center"/>
          </w:tcPr>
          <w:p w14:paraId="36C8B3E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≤±1%F.S.</w:t>
            </w:r>
          </w:p>
        </w:tc>
      </w:tr>
      <w:tr w14:paraId="60E17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27049077">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6E9A1BC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量程漂移</w:t>
            </w:r>
          </w:p>
        </w:tc>
        <w:tc>
          <w:tcPr>
            <w:tcW w:w="5862" w:type="dxa"/>
            <w:shd w:val="clear" w:color="auto" w:fill="FFFFFF"/>
            <w:vAlign w:val="center"/>
          </w:tcPr>
          <w:p w14:paraId="259451A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≤±1%F.S.</w:t>
            </w:r>
          </w:p>
        </w:tc>
      </w:tr>
      <w:tr w14:paraId="76534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4755F045">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190FB71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示值误差</w:t>
            </w:r>
          </w:p>
        </w:tc>
        <w:tc>
          <w:tcPr>
            <w:tcW w:w="5862" w:type="dxa"/>
            <w:shd w:val="clear" w:color="auto" w:fill="FFFFFF"/>
            <w:vAlign w:val="center"/>
          </w:tcPr>
          <w:p w14:paraId="5042AB3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≤±1%F.S.</w:t>
            </w:r>
          </w:p>
        </w:tc>
      </w:tr>
      <w:tr w14:paraId="27EBF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4A266DA3">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0A5776F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检出限</w:t>
            </w:r>
          </w:p>
        </w:tc>
        <w:tc>
          <w:tcPr>
            <w:tcW w:w="5862" w:type="dxa"/>
            <w:shd w:val="clear" w:color="auto" w:fill="FFFFFF"/>
            <w:vAlign w:val="center"/>
          </w:tcPr>
          <w:p w14:paraId="5598079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bidi="ar"/>
              </w:rPr>
              <w:t>≤0.8% F.S.</w:t>
            </w:r>
          </w:p>
        </w:tc>
      </w:tr>
      <w:tr w14:paraId="65266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5329FC60">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6B705D4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响应时间</w:t>
            </w:r>
          </w:p>
        </w:tc>
        <w:tc>
          <w:tcPr>
            <w:tcW w:w="5862" w:type="dxa"/>
            <w:shd w:val="clear" w:color="auto" w:fill="FFFFFF"/>
            <w:vAlign w:val="center"/>
          </w:tcPr>
          <w:p w14:paraId="30A3FD3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≤75s  </w:t>
            </w:r>
          </w:p>
        </w:tc>
      </w:tr>
      <w:tr w14:paraId="645CD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restart"/>
            <w:shd w:val="clear" w:color="auto" w:fill="FFFFFF"/>
            <w:vAlign w:val="center"/>
          </w:tcPr>
          <w:p w14:paraId="0D69420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颗粒物</w:t>
            </w:r>
          </w:p>
          <w:p w14:paraId="3A744C87">
            <w:pPr>
              <w:spacing w:line="360" w:lineRule="auto"/>
              <w:rPr>
                <w:rFonts w:hint="eastAsia" w:ascii="仿宋" w:hAnsi="仿宋" w:eastAsia="仿宋" w:cs="仿宋"/>
                <w:color w:val="000000"/>
                <w:sz w:val="24"/>
                <w:szCs w:val="24"/>
              </w:rPr>
            </w:pPr>
          </w:p>
        </w:tc>
        <w:tc>
          <w:tcPr>
            <w:tcW w:w="1710" w:type="dxa"/>
            <w:shd w:val="clear" w:color="auto" w:fill="FFFFFF"/>
          </w:tcPr>
          <w:p w14:paraId="3BF69A6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测量范围</w:t>
            </w:r>
          </w:p>
        </w:tc>
        <w:tc>
          <w:tcPr>
            <w:tcW w:w="5862" w:type="dxa"/>
            <w:shd w:val="clear" w:color="auto" w:fill="FFFFFF"/>
            <w:vAlign w:val="center"/>
          </w:tcPr>
          <w:p w14:paraId="01BC833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(0～20,…,200)mg/m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，可设定</w:t>
            </w:r>
          </w:p>
        </w:tc>
      </w:tr>
      <w:tr w14:paraId="5EE21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5E5FC8C7">
            <w:pPr>
              <w:spacing w:line="360" w:lineRule="auto"/>
              <w:rPr>
                <w:rFonts w:hint="eastAsia" w:ascii="仿宋" w:hAnsi="仿宋" w:eastAsia="仿宋" w:cs="仿宋"/>
                <w:color w:val="000000"/>
                <w:sz w:val="24"/>
                <w:szCs w:val="24"/>
              </w:rPr>
            </w:pPr>
          </w:p>
        </w:tc>
        <w:tc>
          <w:tcPr>
            <w:tcW w:w="1710" w:type="dxa"/>
            <w:shd w:val="clear" w:color="auto" w:fill="FFFFFF"/>
          </w:tcPr>
          <w:p w14:paraId="6222B5A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零点漂移</w:t>
            </w:r>
          </w:p>
        </w:tc>
        <w:tc>
          <w:tcPr>
            <w:tcW w:w="5862" w:type="dxa"/>
            <w:shd w:val="clear" w:color="auto" w:fill="FFFFFF"/>
            <w:vAlign w:val="center"/>
          </w:tcPr>
          <w:p w14:paraId="047DFAB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±2%F.S./24h</w:t>
            </w:r>
          </w:p>
        </w:tc>
      </w:tr>
      <w:tr w14:paraId="4C61A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183C00E4">
            <w:pPr>
              <w:spacing w:line="360" w:lineRule="auto"/>
              <w:rPr>
                <w:rFonts w:hint="eastAsia" w:ascii="仿宋" w:hAnsi="仿宋" w:eastAsia="仿宋" w:cs="仿宋"/>
                <w:color w:val="000000"/>
                <w:sz w:val="24"/>
                <w:szCs w:val="24"/>
              </w:rPr>
            </w:pPr>
          </w:p>
        </w:tc>
        <w:tc>
          <w:tcPr>
            <w:tcW w:w="1710" w:type="dxa"/>
            <w:shd w:val="clear" w:color="auto" w:fill="FFFFFF"/>
          </w:tcPr>
          <w:p w14:paraId="30B4D93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量程漂移</w:t>
            </w:r>
          </w:p>
        </w:tc>
        <w:tc>
          <w:tcPr>
            <w:tcW w:w="5862" w:type="dxa"/>
            <w:shd w:val="clear" w:color="auto" w:fill="FFFFFF"/>
            <w:vAlign w:val="center"/>
          </w:tcPr>
          <w:p w14:paraId="13BC412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±2%F.S./24h</w:t>
            </w:r>
          </w:p>
        </w:tc>
      </w:tr>
      <w:tr w14:paraId="6C7FB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3B9587F6">
            <w:pPr>
              <w:spacing w:line="360" w:lineRule="auto"/>
              <w:rPr>
                <w:rFonts w:hint="eastAsia" w:ascii="仿宋" w:hAnsi="仿宋" w:eastAsia="仿宋" w:cs="仿宋"/>
                <w:color w:val="000000"/>
                <w:sz w:val="24"/>
                <w:szCs w:val="24"/>
              </w:rPr>
            </w:pPr>
          </w:p>
        </w:tc>
        <w:tc>
          <w:tcPr>
            <w:tcW w:w="1710" w:type="dxa"/>
            <w:shd w:val="clear" w:color="auto" w:fill="FFFFFF"/>
          </w:tcPr>
          <w:p w14:paraId="35C8200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示值误差</w:t>
            </w:r>
          </w:p>
        </w:tc>
        <w:tc>
          <w:tcPr>
            <w:tcW w:w="5862" w:type="dxa"/>
            <w:shd w:val="clear" w:color="auto" w:fill="FFFFFF"/>
            <w:vAlign w:val="center"/>
          </w:tcPr>
          <w:p w14:paraId="33A4D6F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≤±10%（重量法）</w:t>
            </w:r>
          </w:p>
        </w:tc>
      </w:tr>
      <w:tr w14:paraId="0A88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64B2A1DB">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7AABC94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检出限</w:t>
            </w:r>
          </w:p>
        </w:tc>
        <w:tc>
          <w:tcPr>
            <w:tcW w:w="5862" w:type="dxa"/>
            <w:shd w:val="clear" w:color="auto" w:fill="FFFFFF"/>
            <w:vAlign w:val="center"/>
          </w:tcPr>
          <w:p w14:paraId="2E29171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0.01mg/m3</w:t>
            </w:r>
          </w:p>
        </w:tc>
      </w:tr>
      <w:tr w14:paraId="634B0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961" w:type="dxa"/>
            <w:vMerge w:val="restart"/>
            <w:shd w:val="clear" w:color="auto" w:fill="FFFFFF"/>
            <w:vAlign w:val="center"/>
          </w:tcPr>
          <w:p w14:paraId="7C4D0E8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烟气参数</w:t>
            </w:r>
          </w:p>
          <w:p w14:paraId="056E69D0">
            <w:pPr>
              <w:spacing w:line="360" w:lineRule="auto"/>
              <w:rPr>
                <w:rFonts w:hint="eastAsia" w:ascii="仿宋" w:hAnsi="仿宋" w:eastAsia="仿宋" w:cs="仿宋"/>
                <w:color w:val="000000"/>
                <w:sz w:val="24"/>
                <w:szCs w:val="24"/>
              </w:rPr>
            </w:pPr>
          </w:p>
        </w:tc>
        <w:tc>
          <w:tcPr>
            <w:tcW w:w="789" w:type="dxa"/>
            <w:vMerge w:val="restart"/>
            <w:shd w:val="clear" w:color="auto" w:fill="FFFFFF"/>
            <w:vAlign w:val="center"/>
          </w:tcPr>
          <w:p w14:paraId="33DEFFA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温度</w:t>
            </w:r>
          </w:p>
        </w:tc>
        <w:tc>
          <w:tcPr>
            <w:tcW w:w="1710" w:type="dxa"/>
            <w:shd w:val="clear" w:color="auto" w:fill="FFFFFF"/>
            <w:vAlign w:val="center"/>
          </w:tcPr>
          <w:p w14:paraId="1ED23C7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测量量程</w:t>
            </w:r>
          </w:p>
        </w:tc>
        <w:tc>
          <w:tcPr>
            <w:tcW w:w="5862" w:type="dxa"/>
            <w:shd w:val="clear" w:color="auto" w:fill="FFFFFF"/>
            <w:vAlign w:val="center"/>
          </w:tcPr>
          <w:p w14:paraId="5C14AF5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(0～300)℃，可选(0～500)℃</w:t>
            </w:r>
          </w:p>
        </w:tc>
      </w:tr>
      <w:tr w14:paraId="3DD7C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2D1D9203">
            <w:pPr>
              <w:spacing w:line="360" w:lineRule="auto"/>
              <w:rPr>
                <w:rFonts w:hint="eastAsia" w:ascii="仿宋" w:hAnsi="仿宋" w:eastAsia="仿宋" w:cs="仿宋"/>
                <w:color w:val="000000"/>
                <w:sz w:val="24"/>
                <w:szCs w:val="24"/>
              </w:rPr>
            </w:pPr>
          </w:p>
        </w:tc>
        <w:tc>
          <w:tcPr>
            <w:tcW w:w="789" w:type="dxa"/>
            <w:vMerge w:val="continue"/>
            <w:shd w:val="clear" w:color="auto" w:fill="FFFFFF"/>
            <w:vAlign w:val="center"/>
          </w:tcPr>
          <w:p w14:paraId="65007B8F">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70FCD23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准确度</w:t>
            </w:r>
          </w:p>
        </w:tc>
        <w:tc>
          <w:tcPr>
            <w:tcW w:w="5862" w:type="dxa"/>
            <w:shd w:val="clear" w:color="auto" w:fill="FFFFFF"/>
            <w:vAlign w:val="center"/>
          </w:tcPr>
          <w:p w14:paraId="5CC3001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5572F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6B539263">
            <w:pPr>
              <w:spacing w:line="360" w:lineRule="auto"/>
              <w:rPr>
                <w:rFonts w:hint="eastAsia" w:ascii="仿宋" w:hAnsi="仿宋" w:eastAsia="仿宋" w:cs="仿宋"/>
                <w:color w:val="000000"/>
                <w:sz w:val="24"/>
                <w:szCs w:val="24"/>
              </w:rPr>
            </w:pPr>
          </w:p>
        </w:tc>
        <w:tc>
          <w:tcPr>
            <w:tcW w:w="789" w:type="dxa"/>
            <w:vMerge w:val="restart"/>
            <w:shd w:val="clear" w:color="auto" w:fill="FFFFFF"/>
            <w:vAlign w:val="center"/>
          </w:tcPr>
          <w:p w14:paraId="4CEA55E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压力</w:t>
            </w:r>
          </w:p>
        </w:tc>
        <w:tc>
          <w:tcPr>
            <w:tcW w:w="1710" w:type="dxa"/>
            <w:shd w:val="clear" w:color="auto" w:fill="FFFFFF"/>
            <w:vAlign w:val="center"/>
          </w:tcPr>
          <w:p w14:paraId="30E1AE9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测量量程</w:t>
            </w:r>
          </w:p>
        </w:tc>
        <w:tc>
          <w:tcPr>
            <w:tcW w:w="5862" w:type="dxa"/>
            <w:shd w:val="clear" w:color="auto" w:fill="FFFFFF"/>
            <w:vAlign w:val="center"/>
          </w:tcPr>
          <w:p w14:paraId="5B4969E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±2kPa、±5kPa、±10kPa 可选</w:t>
            </w:r>
          </w:p>
        </w:tc>
      </w:tr>
      <w:tr w14:paraId="418E5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0BBEA8AC">
            <w:pPr>
              <w:spacing w:line="360" w:lineRule="auto"/>
              <w:rPr>
                <w:rFonts w:hint="eastAsia" w:ascii="仿宋" w:hAnsi="仿宋" w:eastAsia="仿宋" w:cs="仿宋"/>
                <w:color w:val="000000"/>
                <w:sz w:val="24"/>
                <w:szCs w:val="24"/>
              </w:rPr>
            </w:pPr>
          </w:p>
        </w:tc>
        <w:tc>
          <w:tcPr>
            <w:tcW w:w="789" w:type="dxa"/>
            <w:vMerge w:val="continue"/>
            <w:shd w:val="clear" w:color="auto" w:fill="FFFFFF"/>
            <w:vAlign w:val="center"/>
          </w:tcPr>
          <w:p w14:paraId="69E14F7B">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4CABBBB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准确度</w:t>
            </w:r>
          </w:p>
        </w:tc>
        <w:tc>
          <w:tcPr>
            <w:tcW w:w="5862" w:type="dxa"/>
            <w:shd w:val="clear" w:color="auto" w:fill="FFFFFF"/>
            <w:vAlign w:val="center"/>
          </w:tcPr>
          <w:p w14:paraId="6F7BC98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10883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524F657B">
            <w:pPr>
              <w:spacing w:line="360" w:lineRule="auto"/>
              <w:rPr>
                <w:rFonts w:hint="eastAsia" w:ascii="仿宋" w:hAnsi="仿宋" w:eastAsia="仿宋" w:cs="仿宋"/>
                <w:color w:val="000000"/>
                <w:sz w:val="24"/>
                <w:szCs w:val="24"/>
              </w:rPr>
            </w:pPr>
          </w:p>
        </w:tc>
        <w:tc>
          <w:tcPr>
            <w:tcW w:w="789" w:type="dxa"/>
            <w:vMerge w:val="restart"/>
            <w:shd w:val="clear" w:color="auto" w:fill="FFFFFF"/>
            <w:vAlign w:val="center"/>
          </w:tcPr>
          <w:p w14:paraId="23737C7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流速</w:t>
            </w:r>
          </w:p>
        </w:tc>
        <w:tc>
          <w:tcPr>
            <w:tcW w:w="1710" w:type="dxa"/>
            <w:shd w:val="clear" w:color="auto" w:fill="FFFFFF"/>
            <w:vAlign w:val="center"/>
          </w:tcPr>
          <w:p w14:paraId="6DBA25F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测量量程</w:t>
            </w:r>
          </w:p>
        </w:tc>
        <w:tc>
          <w:tcPr>
            <w:tcW w:w="5862" w:type="dxa"/>
            <w:shd w:val="clear" w:color="auto" w:fill="FFFFFF"/>
            <w:vAlign w:val="center"/>
          </w:tcPr>
          <w:p w14:paraId="2C2106E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(0～15)m/s，可选(0～30)m/s、(0～40)m/s</w:t>
            </w:r>
          </w:p>
        </w:tc>
      </w:tr>
      <w:tr w14:paraId="68117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06102D5F">
            <w:pPr>
              <w:spacing w:line="360" w:lineRule="auto"/>
              <w:rPr>
                <w:rFonts w:hint="eastAsia" w:ascii="仿宋" w:hAnsi="仿宋" w:eastAsia="仿宋" w:cs="仿宋"/>
                <w:color w:val="000000"/>
                <w:sz w:val="24"/>
                <w:szCs w:val="24"/>
              </w:rPr>
            </w:pPr>
          </w:p>
        </w:tc>
        <w:tc>
          <w:tcPr>
            <w:tcW w:w="789" w:type="dxa"/>
            <w:vMerge w:val="continue"/>
            <w:shd w:val="clear" w:color="auto" w:fill="FFFFFF"/>
            <w:vAlign w:val="center"/>
          </w:tcPr>
          <w:p w14:paraId="44EA419F">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5A9380D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准确度</w:t>
            </w:r>
          </w:p>
        </w:tc>
        <w:tc>
          <w:tcPr>
            <w:tcW w:w="5862" w:type="dxa"/>
            <w:shd w:val="clear" w:color="auto" w:fill="FFFFFF"/>
            <w:vAlign w:val="center"/>
          </w:tcPr>
          <w:p w14:paraId="3DA9C72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±(0.5m/s﹢0.05v)</w:t>
            </w:r>
          </w:p>
        </w:tc>
      </w:tr>
      <w:tr w14:paraId="3876C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499614C7">
            <w:pPr>
              <w:spacing w:line="360" w:lineRule="auto"/>
              <w:rPr>
                <w:rFonts w:hint="eastAsia" w:ascii="仿宋" w:hAnsi="仿宋" w:eastAsia="仿宋" w:cs="仿宋"/>
                <w:color w:val="000000"/>
                <w:sz w:val="24"/>
                <w:szCs w:val="24"/>
              </w:rPr>
            </w:pPr>
          </w:p>
        </w:tc>
        <w:tc>
          <w:tcPr>
            <w:tcW w:w="789" w:type="dxa"/>
            <w:vMerge w:val="restart"/>
            <w:shd w:val="clear" w:color="auto" w:fill="FFFFFF"/>
            <w:vAlign w:val="center"/>
          </w:tcPr>
          <w:p w14:paraId="66B4C87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湿度</w:t>
            </w:r>
          </w:p>
        </w:tc>
        <w:tc>
          <w:tcPr>
            <w:tcW w:w="1710" w:type="dxa"/>
            <w:shd w:val="clear" w:color="auto" w:fill="FFFFFF"/>
            <w:vAlign w:val="center"/>
          </w:tcPr>
          <w:p w14:paraId="6F809E7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测量量程</w:t>
            </w:r>
          </w:p>
        </w:tc>
        <w:tc>
          <w:tcPr>
            <w:tcW w:w="5862" w:type="dxa"/>
            <w:shd w:val="clear" w:color="auto" w:fill="FFFFFF"/>
            <w:vAlign w:val="center"/>
          </w:tcPr>
          <w:p w14:paraId="1B661D2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（0～40）vol%</w:t>
            </w:r>
          </w:p>
        </w:tc>
      </w:tr>
      <w:tr w14:paraId="59826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961" w:type="dxa"/>
            <w:vMerge w:val="continue"/>
            <w:shd w:val="clear" w:color="auto" w:fill="FFFFFF"/>
            <w:vAlign w:val="center"/>
          </w:tcPr>
          <w:p w14:paraId="191D2033">
            <w:pPr>
              <w:spacing w:line="360" w:lineRule="auto"/>
              <w:rPr>
                <w:rFonts w:hint="eastAsia" w:ascii="仿宋" w:hAnsi="仿宋" w:eastAsia="仿宋" w:cs="仿宋"/>
                <w:color w:val="000000"/>
                <w:sz w:val="24"/>
                <w:szCs w:val="24"/>
              </w:rPr>
            </w:pPr>
          </w:p>
        </w:tc>
        <w:tc>
          <w:tcPr>
            <w:tcW w:w="789" w:type="dxa"/>
            <w:vMerge w:val="continue"/>
            <w:shd w:val="clear" w:color="auto" w:fill="FFFFFF"/>
            <w:vAlign w:val="center"/>
          </w:tcPr>
          <w:p w14:paraId="4DD9CF62">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351F623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准确度</w:t>
            </w:r>
          </w:p>
        </w:tc>
        <w:tc>
          <w:tcPr>
            <w:tcW w:w="5862" w:type="dxa"/>
            <w:shd w:val="clear" w:color="auto" w:fill="FFFFFF"/>
            <w:vAlign w:val="center"/>
          </w:tcPr>
          <w:p w14:paraId="2AA1F9E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≤5%时，绝对误差≤±1.5%；</w:t>
            </w:r>
          </w:p>
          <w:p w14:paraId="29F9260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＞5%时，相对误差≤25%</w:t>
            </w:r>
          </w:p>
        </w:tc>
      </w:tr>
      <w:tr w14:paraId="60EB3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6" w:hRule="atLeast"/>
        </w:trPr>
        <w:tc>
          <w:tcPr>
            <w:tcW w:w="1750" w:type="dxa"/>
            <w:gridSpan w:val="2"/>
            <w:vMerge w:val="restart"/>
            <w:shd w:val="clear" w:color="auto" w:fill="FFFFFF"/>
            <w:vAlign w:val="center"/>
          </w:tcPr>
          <w:p w14:paraId="4BDAF70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数据采集与处理</w:t>
            </w:r>
          </w:p>
        </w:tc>
        <w:tc>
          <w:tcPr>
            <w:tcW w:w="1710" w:type="dxa"/>
            <w:shd w:val="clear" w:color="auto" w:fill="FFFFFF"/>
            <w:vAlign w:val="center"/>
          </w:tcPr>
          <w:p w14:paraId="2A2E0BC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对外输出接口</w:t>
            </w:r>
          </w:p>
        </w:tc>
        <w:tc>
          <w:tcPr>
            <w:tcW w:w="5862" w:type="dxa"/>
            <w:shd w:val="clear" w:color="auto" w:fill="FFFFFF"/>
            <w:vAlign w:val="center"/>
          </w:tcPr>
          <w:p w14:paraId="6E12E3B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2路RS485接口</w:t>
            </w:r>
          </w:p>
          <w:p w14:paraId="3571F30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10路模拟量输出  6路数字开关量输出</w:t>
            </w:r>
          </w:p>
          <w:p w14:paraId="5530F3A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可根据需要定制扩展</w:t>
            </w:r>
          </w:p>
        </w:tc>
      </w:tr>
      <w:tr w14:paraId="44754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 w:hRule="atLeast"/>
        </w:trPr>
        <w:tc>
          <w:tcPr>
            <w:tcW w:w="1750" w:type="dxa"/>
            <w:gridSpan w:val="2"/>
            <w:vMerge w:val="continue"/>
            <w:shd w:val="clear" w:color="auto" w:fill="FFFFFF"/>
            <w:vAlign w:val="center"/>
          </w:tcPr>
          <w:p w14:paraId="5D25F542">
            <w:pPr>
              <w:spacing w:line="360" w:lineRule="auto"/>
              <w:rPr>
                <w:rFonts w:hint="eastAsia" w:ascii="仿宋" w:hAnsi="仿宋" w:eastAsia="仿宋" w:cs="仿宋"/>
                <w:color w:val="000000"/>
                <w:sz w:val="24"/>
                <w:szCs w:val="24"/>
              </w:rPr>
            </w:pPr>
          </w:p>
        </w:tc>
        <w:tc>
          <w:tcPr>
            <w:tcW w:w="1710" w:type="dxa"/>
            <w:shd w:val="clear" w:color="auto" w:fill="FFFFFF"/>
            <w:vAlign w:val="center"/>
          </w:tcPr>
          <w:p w14:paraId="2CA36CB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系统软件</w:t>
            </w:r>
          </w:p>
        </w:tc>
        <w:tc>
          <w:tcPr>
            <w:tcW w:w="5862" w:type="dxa"/>
            <w:shd w:val="clear" w:color="auto" w:fill="FFFFFF"/>
            <w:vAlign w:val="center"/>
          </w:tcPr>
          <w:p w14:paraId="538AD87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在线监控管理软件</w:t>
            </w:r>
          </w:p>
        </w:tc>
      </w:tr>
      <w:tr w14:paraId="5D221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3460" w:type="dxa"/>
            <w:gridSpan w:val="3"/>
            <w:shd w:val="clear" w:color="auto" w:fill="FFFFFF"/>
            <w:vAlign w:val="center"/>
          </w:tcPr>
          <w:p w14:paraId="43EF76B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供电要求</w:t>
            </w:r>
          </w:p>
        </w:tc>
        <w:tc>
          <w:tcPr>
            <w:tcW w:w="5862" w:type="dxa"/>
            <w:shd w:val="clear" w:color="auto" w:fill="FFFFFF"/>
            <w:vAlign w:val="center"/>
          </w:tcPr>
          <w:p w14:paraId="560EC63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220V/AC，功率5kW</w:t>
            </w:r>
          </w:p>
          <w:p w14:paraId="693D5B7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（视伴热管线长度调整）</w:t>
            </w:r>
          </w:p>
        </w:tc>
      </w:tr>
      <w:tr w14:paraId="6F4CD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1" w:hRule="atLeast"/>
        </w:trPr>
        <w:tc>
          <w:tcPr>
            <w:tcW w:w="3460" w:type="dxa"/>
            <w:gridSpan w:val="3"/>
            <w:shd w:val="clear" w:color="auto" w:fill="FFFFFF"/>
            <w:vAlign w:val="center"/>
          </w:tcPr>
          <w:p w14:paraId="71ADCB8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气源要求</w:t>
            </w:r>
          </w:p>
        </w:tc>
        <w:tc>
          <w:tcPr>
            <w:tcW w:w="5862" w:type="dxa"/>
            <w:shd w:val="clear" w:color="auto" w:fill="FFFFFF"/>
            <w:vAlign w:val="center"/>
          </w:tcPr>
          <w:p w14:paraId="25797DE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压缩空气(0.4～0.6)MPa ，洁净、无油</w:t>
            </w:r>
          </w:p>
        </w:tc>
      </w:tr>
      <w:bookmarkEnd w:id="8"/>
      <w:bookmarkEnd w:id="9"/>
      <w:bookmarkEnd w:id="10"/>
      <w:bookmarkEnd w:id="11"/>
      <w:bookmarkEnd w:id="12"/>
      <w:bookmarkEnd w:id="13"/>
      <w:bookmarkEnd w:id="14"/>
      <w:bookmarkEnd w:id="15"/>
      <w:bookmarkEnd w:id="41"/>
    </w:tbl>
    <w:p w14:paraId="6A03BAB5">
      <w:pPr>
        <w:rPr>
          <w:rFonts w:hint="eastAsia" w:ascii="仿宋" w:hAnsi="仿宋" w:eastAsia="仿宋" w:cs="仿宋"/>
        </w:rPr>
      </w:pPr>
    </w:p>
    <w:p w14:paraId="5B1D6B54">
      <w:pPr>
        <w:pStyle w:val="2"/>
        <w:numPr>
          <w:ilvl w:val="0"/>
          <w:numId w:val="24"/>
        </w:numPr>
        <w:bidi w:val="0"/>
        <w:rPr>
          <w:rFonts w:hint="eastAsia" w:ascii="仿宋" w:hAnsi="仿宋" w:eastAsia="仿宋" w:cs="仿宋"/>
        </w:rPr>
      </w:pPr>
      <w:bookmarkStart w:id="42" w:name="_Toc24291"/>
      <w:bookmarkStart w:id="43" w:name="_Toc490837386"/>
      <w:bookmarkStart w:id="44" w:name="_Toc78470101"/>
      <w:bookmarkStart w:id="45" w:name="_Toc500313116"/>
      <w:bookmarkStart w:id="46" w:name="_Ref8656013"/>
      <w:bookmarkStart w:id="47" w:name="_Toc493017630"/>
      <w:bookmarkStart w:id="48" w:name="_Toc17027"/>
      <w:bookmarkStart w:id="49" w:name="_Toc514609344"/>
      <w:bookmarkStart w:id="50" w:name="_Toc534733728"/>
      <w:bookmarkStart w:id="51" w:name="_Ref8656005"/>
      <w:bookmarkStart w:id="52" w:name="_Toc514611187"/>
      <w:bookmarkStart w:id="53" w:name="_Toc497927645"/>
      <w:bookmarkStart w:id="54" w:name="_Toc533447602"/>
      <w:bookmarkStart w:id="55" w:name="_Toc493017632"/>
      <w:bookmarkStart w:id="56" w:name="_Toc490837388"/>
      <w:bookmarkStart w:id="57" w:name="_Toc497927647"/>
      <w:bookmarkStart w:id="58" w:name="_Toc24241"/>
      <w:r>
        <w:rPr>
          <w:rFonts w:hint="eastAsia" w:ascii="仿宋" w:hAnsi="仿宋" w:eastAsia="仿宋" w:cs="仿宋"/>
        </w:rPr>
        <w:t>售后服务承诺</w:t>
      </w:r>
      <w:bookmarkEnd w:id="42"/>
      <w:bookmarkEnd w:id="43"/>
      <w:bookmarkEnd w:id="44"/>
      <w:bookmarkEnd w:id="45"/>
      <w:bookmarkEnd w:id="46"/>
      <w:bookmarkEnd w:id="47"/>
      <w:bookmarkEnd w:id="48"/>
      <w:bookmarkEnd w:id="49"/>
      <w:bookmarkEnd w:id="50"/>
      <w:bookmarkEnd w:id="51"/>
      <w:bookmarkEnd w:id="52"/>
      <w:bookmarkEnd w:id="53"/>
      <w:bookmarkEnd w:id="54"/>
    </w:p>
    <w:p w14:paraId="6F9399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本公司拥有一支高素质的技术服务队伍，能够并且愿意为广大用户提供专业、高效的现场技术支持及设备维护服务。本公司售后服务中心提供下列售后服务承诺：</w:t>
      </w:r>
    </w:p>
    <w:p w14:paraId="305394CB">
      <w:pPr>
        <w:numPr>
          <w:ilvl w:val="0"/>
          <w:numId w:val="25"/>
        </w:numPr>
        <w:spacing w:line="360" w:lineRule="auto"/>
        <w:rPr>
          <w:rFonts w:hint="eastAsia" w:ascii="仿宋" w:hAnsi="仿宋" w:eastAsia="仿宋" w:cs="仿宋"/>
          <w:sz w:val="24"/>
          <w:szCs w:val="24"/>
        </w:rPr>
      </w:pPr>
      <w:r>
        <w:rPr>
          <w:rFonts w:hint="eastAsia" w:ascii="仿宋" w:hAnsi="仿宋" w:eastAsia="仿宋" w:cs="仿宋"/>
          <w:sz w:val="24"/>
          <w:szCs w:val="24"/>
        </w:rPr>
        <w:t>我司承诺提供本项目的货物、运输、系统集成、安装调试、售后服务、培训及运维服务。</w:t>
      </w:r>
    </w:p>
    <w:p w14:paraId="12143FB7">
      <w:pPr>
        <w:numPr>
          <w:ilvl w:val="0"/>
          <w:numId w:val="25"/>
        </w:numPr>
        <w:spacing w:line="360" w:lineRule="auto"/>
        <w:rPr>
          <w:rFonts w:hint="eastAsia" w:ascii="仿宋" w:hAnsi="仿宋" w:eastAsia="仿宋" w:cs="仿宋"/>
          <w:sz w:val="24"/>
          <w:szCs w:val="24"/>
        </w:rPr>
      </w:pPr>
      <w:r>
        <w:rPr>
          <w:rFonts w:hint="eastAsia" w:ascii="仿宋" w:hAnsi="仿宋" w:eastAsia="仿宋" w:cs="仿宋"/>
          <w:sz w:val="24"/>
          <w:szCs w:val="24"/>
        </w:rPr>
        <w:t>我司承诺在供货时有关证书和附件等相关手续齐全，所供货物符合厂家出厂时规定的质量检测标准。</w:t>
      </w:r>
    </w:p>
    <w:p w14:paraId="53FC9B7B">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我司承诺供货时提供系统所有仪器设备、软件、附件、备品备件等详细的中文操作手册，详细的系统操作和维护手册、系统软件使用手册。提供配套完整的专用工具；提供数据库设计的详细文档资料（纸质和电子文档），包括所有的表、视图的结构说明、表间关系说明，有关代码说明；提供数据传输所用的详细的通信协议。</w:t>
      </w:r>
    </w:p>
    <w:p w14:paraId="049B8AEB">
      <w:pPr>
        <w:numPr>
          <w:ilvl w:val="0"/>
          <w:numId w:val="25"/>
        </w:numPr>
        <w:spacing w:line="360" w:lineRule="auto"/>
        <w:rPr>
          <w:rFonts w:hint="eastAsia" w:ascii="仿宋" w:hAnsi="仿宋" w:eastAsia="仿宋" w:cs="仿宋"/>
          <w:sz w:val="24"/>
          <w:szCs w:val="24"/>
        </w:rPr>
      </w:pPr>
      <w:r>
        <w:rPr>
          <w:rFonts w:hint="eastAsia" w:ascii="仿宋" w:hAnsi="仿宋" w:eastAsia="仿宋" w:cs="仿宋"/>
          <w:sz w:val="24"/>
          <w:szCs w:val="24"/>
        </w:rPr>
        <w:t>我公司承诺基站建设符合国家及相关文件要求，达到上级主管部门合格验收标准。</w:t>
      </w:r>
    </w:p>
    <w:p w14:paraId="1B601379">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我司承诺在运营维护机构设立专门的配件库房，建立每台仪器的配件更换档案，根据部件的使用寿命及时统计配件的用量，制定准确的配件需求计划，并设定配件安全库存的预警值，结合配件的采购周期，采购、储存足够仪器配件、耗材，不断调整和补充各种备品备件的存储数量，确保故障仪器得到及时的维护、维修。</w:t>
      </w:r>
    </w:p>
    <w:p w14:paraId="010C0EC1">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质保期：从产品最终验收合格后12个月内或到货后18个月内，以先到时间为准。</w:t>
      </w:r>
    </w:p>
    <w:p w14:paraId="1D675A88">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如果采购物品在保修期内出现质量问题，乙方收到甲方维护要求后，在2小时内作出响应, 4小时内维护人员到现场处理，在8小时内修复至正常使用状态；遇有严重技术问题，重大故障，需要现场维护，乙方应在4小时内到达甲方现场，并在24小时内修复至正常使用状态。</w:t>
      </w:r>
    </w:p>
    <w:p w14:paraId="7CEEDCBF">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val="en-US" w:eastAsia="zh-CN"/>
        </w:rPr>
        <w:t>我公司</w:t>
      </w:r>
      <w:r>
        <w:rPr>
          <w:rFonts w:hint="eastAsia" w:ascii="仿宋" w:hAnsi="仿宋" w:eastAsia="仿宋" w:cs="仿宋"/>
          <w:sz w:val="24"/>
          <w:szCs w:val="24"/>
        </w:rPr>
        <w:t>保证10年内的耗材及备品备件的正常供应。</w:t>
      </w:r>
    </w:p>
    <w:p w14:paraId="159C1EF1">
      <w:pPr>
        <w:pStyle w:val="76"/>
        <w:numPr>
          <w:ilvl w:val="0"/>
          <w:numId w:val="2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我司承诺如今后生态环境部、省生态环境厅对空气自动监测技术规范作出调整，将及时地免费为用户提供软件升级服务。</w:t>
      </w:r>
    </w:p>
    <w:p w14:paraId="07611283">
      <w:pPr>
        <w:numPr>
          <w:ilvl w:val="0"/>
          <w:numId w:val="25"/>
        </w:numPr>
        <w:spacing w:line="360" w:lineRule="auto"/>
        <w:rPr>
          <w:rFonts w:hint="eastAsia" w:ascii="仿宋" w:hAnsi="仿宋" w:eastAsia="仿宋" w:cs="仿宋"/>
          <w:sz w:val="24"/>
          <w:szCs w:val="24"/>
        </w:rPr>
      </w:pPr>
      <w:r>
        <w:rPr>
          <w:rFonts w:hint="eastAsia" w:ascii="仿宋" w:hAnsi="仿宋" w:eastAsia="仿宋" w:cs="仿宋"/>
          <w:sz w:val="24"/>
          <w:szCs w:val="24"/>
        </w:rPr>
        <w:t>我司承诺中标后，及时对所有设备安装现场勘察，对已安装的自动监测设备进行调试、验收测试，对每套自动监测设备建立档案，将每次维护的表格都存在这个档案中，按照规定移交计划进行设备系统移交。</w:t>
      </w:r>
    </w:p>
    <w:p w14:paraId="4FB4DD0E">
      <w:pPr>
        <w:numPr>
          <w:ilvl w:val="0"/>
          <w:numId w:val="25"/>
        </w:numPr>
        <w:spacing w:line="360" w:lineRule="auto"/>
        <w:rPr>
          <w:rFonts w:hint="eastAsia" w:ascii="仿宋" w:hAnsi="仿宋" w:eastAsia="仿宋" w:cs="仿宋"/>
          <w:sz w:val="24"/>
          <w:szCs w:val="24"/>
        </w:rPr>
      </w:pPr>
      <w:r>
        <w:rPr>
          <w:rFonts w:hint="eastAsia" w:ascii="仿宋" w:hAnsi="仿宋" w:eastAsia="仿宋" w:cs="仿宋"/>
          <w:sz w:val="24"/>
          <w:szCs w:val="24"/>
        </w:rPr>
        <w:t>我司承诺补充对系统、设备的政策运行和维护必不可少的备件、专用工具和消耗品。</w:t>
      </w:r>
    </w:p>
    <w:p w14:paraId="0AEBD9E3">
      <w:pPr>
        <w:rPr>
          <w:rFonts w:hint="eastAsia" w:ascii="仿宋" w:hAnsi="仿宋" w:eastAsia="仿宋" w:cs="仿宋"/>
          <w:sz w:val="24"/>
          <w:szCs w:val="24"/>
        </w:rPr>
      </w:pPr>
    </w:p>
    <w:p w14:paraId="5E2DBBD1">
      <w:pPr>
        <w:pStyle w:val="3"/>
        <w:bidi w:val="0"/>
        <w:rPr>
          <w:rFonts w:hint="eastAsia" w:ascii="仿宋" w:hAnsi="仿宋" w:eastAsia="仿宋" w:cs="仿宋"/>
        </w:rPr>
      </w:pPr>
      <w:bookmarkStart w:id="59" w:name="_Toc534733729"/>
      <w:bookmarkStart w:id="60" w:name="_Toc1524"/>
      <w:bookmarkStart w:id="61" w:name="_Toc78470102"/>
      <w:bookmarkStart w:id="62" w:name="_Toc500313117"/>
      <w:bookmarkStart w:id="63" w:name="_Toc514611188"/>
      <w:bookmarkStart w:id="64" w:name="_Toc514609345"/>
      <w:bookmarkStart w:id="65" w:name="_Toc533447603"/>
      <w:r>
        <w:rPr>
          <w:rFonts w:hint="eastAsia" w:ascii="仿宋" w:hAnsi="仿宋" w:eastAsia="仿宋" w:cs="仿宋"/>
          <w:lang w:val="en-US" w:eastAsia="zh-CN"/>
        </w:rPr>
        <w:t>1</w:t>
      </w:r>
      <w:r>
        <w:rPr>
          <w:rFonts w:hint="eastAsia" w:ascii="仿宋" w:hAnsi="仿宋" w:eastAsia="仿宋" w:cs="仿宋"/>
        </w:rPr>
        <w:t>、服务方案内容</w:t>
      </w:r>
      <w:bookmarkEnd w:id="59"/>
      <w:bookmarkEnd w:id="60"/>
      <w:bookmarkEnd w:id="61"/>
    </w:p>
    <w:p w14:paraId="7AD47A0E">
      <w:pPr>
        <w:spacing w:before="312" w:beforeLines="100" w:after="312" w:afterLines="100"/>
        <w:rPr>
          <w:rFonts w:hint="eastAsia" w:ascii="仿宋" w:hAnsi="仿宋" w:eastAsia="仿宋" w:cs="仿宋"/>
          <w:b/>
          <w:sz w:val="24"/>
          <w:szCs w:val="24"/>
        </w:rPr>
      </w:pPr>
      <w:r>
        <w:rPr>
          <w:rFonts w:hint="eastAsia" w:ascii="仿宋" w:hAnsi="仿宋" w:eastAsia="仿宋" w:cs="仿宋"/>
          <w:b/>
          <w:sz w:val="24"/>
          <w:szCs w:val="24"/>
        </w:rPr>
        <w:t>（1）总体目标</w:t>
      </w:r>
      <w:bookmarkEnd w:id="55"/>
      <w:bookmarkEnd w:id="56"/>
      <w:bookmarkEnd w:id="57"/>
      <w:bookmarkEnd w:id="58"/>
      <w:bookmarkEnd w:id="62"/>
      <w:bookmarkEnd w:id="63"/>
      <w:bookmarkEnd w:id="64"/>
      <w:bookmarkEnd w:id="65"/>
    </w:p>
    <w:p w14:paraId="3F5A3D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针对本项目的售后服务体系及培训的总体目标是：</w:t>
      </w:r>
    </w:p>
    <w:p w14:paraId="51170C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凭借公司的优势和设备制造厂家的实力保证所提供的软硬件正常、稳定、不间断的运行；</w:t>
      </w:r>
    </w:p>
    <w:p w14:paraId="2466E1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依赖公司深厚的技术基础对系统定期的和不定期的巡查和检测，使其永远保持最佳运行状态；</w:t>
      </w:r>
    </w:p>
    <w:p w14:paraId="00E5BB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秉承“实时响应，点对点服务”的原则，实时解决用户在产品使用上出现的问题；</w:t>
      </w:r>
    </w:p>
    <w:p w14:paraId="2461E9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让用户切实了解自身运用的系统特点，更好的操作运用系统，共同保证系统更稳定的运行，业务更好的开展。</w:t>
      </w:r>
    </w:p>
    <w:p w14:paraId="1A6C67CD">
      <w:pPr>
        <w:spacing w:before="312" w:beforeLines="100" w:after="312" w:afterLines="100"/>
        <w:rPr>
          <w:rFonts w:hint="eastAsia" w:ascii="仿宋" w:hAnsi="仿宋" w:eastAsia="仿宋" w:cs="仿宋"/>
          <w:b/>
          <w:sz w:val="24"/>
          <w:szCs w:val="24"/>
        </w:rPr>
      </w:pPr>
      <w:bookmarkStart w:id="66" w:name="_Toc500313118"/>
      <w:bookmarkStart w:id="67" w:name="_Toc490837389"/>
      <w:bookmarkStart w:id="68" w:name="_Toc533447604"/>
      <w:bookmarkStart w:id="69" w:name="_Toc2969"/>
      <w:bookmarkStart w:id="70" w:name="_Toc493017633"/>
      <w:bookmarkStart w:id="71" w:name="_Toc497927648"/>
      <w:bookmarkStart w:id="72" w:name="_Toc514611189"/>
      <w:bookmarkStart w:id="73" w:name="_Toc514609346"/>
      <w:r>
        <w:rPr>
          <w:rFonts w:hint="eastAsia" w:ascii="仿宋" w:hAnsi="仿宋" w:eastAsia="仿宋" w:cs="仿宋"/>
          <w:b/>
          <w:sz w:val="24"/>
          <w:szCs w:val="24"/>
        </w:rPr>
        <w:t>（2）售后服务原则</w:t>
      </w:r>
      <w:bookmarkEnd w:id="66"/>
      <w:bookmarkEnd w:id="67"/>
      <w:bookmarkEnd w:id="68"/>
      <w:bookmarkEnd w:id="69"/>
      <w:bookmarkEnd w:id="70"/>
      <w:bookmarkEnd w:id="71"/>
      <w:bookmarkEnd w:id="72"/>
      <w:bookmarkEnd w:id="73"/>
    </w:p>
    <w:p w14:paraId="1D81908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项目建设是一项复杂而长期的技术服务，为了切实作好系统的服务工作，制定以下原则作为指导工作的主要原则：</w:t>
      </w:r>
    </w:p>
    <w:p w14:paraId="410045FE">
      <w:pPr>
        <w:spacing w:before="120" w:after="1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响应及时性原则</w:t>
      </w:r>
    </w:p>
    <w:p w14:paraId="639AE0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公司的技术服务部以及客户服务中心将负责对实时响应，点对点服务建设进行快速响应，并提供7*24小时响应服务。</w:t>
      </w:r>
    </w:p>
    <w:p w14:paraId="2962D31E">
      <w:pPr>
        <w:spacing w:before="120" w:after="1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服务规范性原则</w:t>
      </w:r>
    </w:p>
    <w:p w14:paraId="1E73216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我们的实施工程师和技术支持、维护工程师不仅具有专业技术技能，而且都通过公司客户服务规范的培训，并严格按照我公司的客户服务规范提供客户服务。</w:t>
      </w:r>
    </w:p>
    <w:p w14:paraId="2A408A34">
      <w:pPr>
        <w:spacing w:before="120" w:after="1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解决问题高效性原则</w:t>
      </w:r>
    </w:p>
    <w:p w14:paraId="05C5DE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解决问题高效性是通过现场支持工程师的专业技能快速定位和解决问题。</w:t>
      </w:r>
    </w:p>
    <w:p w14:paraId="10A44F96">
      <w:pPr>
        <w:spacing w:before="312" w:beforeLines="100" w:after="312" w:afterLines="100"/>
        <w:rPr>
          <w:rFonts w:hint="eastAsia" w:ascii="仿宋" w:hAnsi="仿宋" w:eastAsia="仿宋" w:cs="仿宋"/>
          <w:b/>
          <w:sz w:val="24"/>
          <w:szCs w:val="24"/>
        </w:rPr>
      </w:pPr>
      <w:bookmarkStart w:id="74" w:name="_Toc15541"/>
      <w:bookmarkStart w:id="75" w:name="_Toc490837390"/>
      <w:bookmarkStart w:id="76" w:name="_Toc533447605"/>
      <w:bookmarkStart w:id="77" w:name="_Toc500313119"/>
      <w:bookmarkStart w:id="78" w:name="_Toc514609347"/>
      <w:bookmarkStart w:id="79" w:name="_Toc514611190"/>
      <w:bookmarkStart w:id="80" w:name="_Toc497927649"/>
      <w:bookmarkStart w:id="81" w:name="_Toc493017634"/>
      <w:r>
        <w:rPr>
          <w:rFonts w:hint="eastAsia" w:ascii="仿宋" w:hAnsi="仿宋" w:eastAsia="仿宋" w:cs="仿宋"/>
          <w:b/>
          <w:sz w:val="24"/>
          <w:szCs w:val="24"/>
        </w:rPr>
        <w:t>（3）售后服务的保障</w:t>
      </w:r>
      <w:bookmarkEnd w:id="74"/>
      <w:bookmarkEnd w:id="75"/>
      <w:bookmarkEnd w:id="76"/>
      <w:bookmarkEnd w:id="77"/>
      <w:bookmarkEnd w:id="78"/>
      <w:bookmarkEnd w:id="79"/>
      <w:bookmarkEnd w:id="80"/>
      <w:bookmarkEnd w:id="81"/>
    </w:p>
    <w:p w14:paraId="1291EE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客户服务响应流程</w:t>
      </w:r>
    </w:p>
    <w:p w14:paraId="3B4684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客户为中心”是公司的重要经营理念。为了真正切实贯彻这一理念，保证对客户问题及时响应和规范服务，公司建立了一套科学、合理的客户服务响应系统。公司客户服务中心向客户提供7*24小时全时响应服务。</w:t>
      </w:r>
    </w:p>
    <w:p w14:paraId="483E41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系统故障报告与预防处理流程</w:t>
      </w:r>
    </w:p>
    <w:p w14:paraId="078651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用户发现系统故障，工作时间通过服务电话，非工作时间拨打专用手机；用户向客户服务中心描述故障情况，服务技术人员解答用户问题，如能解决，则同时发送档案资料库相应的故障处理文档交与用户。如问题复杂，服务中心解决不了。则可通过下述方式解决：</w:t>
      </w:r>
    </w:p>
    <w:p w14:paraId="27C278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（1）通知技术支持中心，技术支持中心立即做出反应。由技术支持中心工程师远程指导用户进行自诊断解决并排除故障；如问题复杂，远程无法解决，则到现场处理问题。</w:t>
      </w:r>
    </w:p>
    <w:p w14:paraId="79D5F2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（2）如果用户提出的是综合性的技术问题，则由项目咨询专家来解答问题。</w:t>
      </w:r>
    </w:p>
    <w:p w14:paraId="0615F3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（3）以上所有处理过程都记录到支持中心的用户档案。</w:t>
      </w:r>
    </w:p>
    <w:p w14:paraId="3A8E1A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定期进行预防性系统维护</w:t>
      </w:r>
    </w:p>
    <w:p w14:paraId="7B93E0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定期检查需要状态报告，报告内含有详细的各部分硬件的出错记录，可以据此尽早采取措施，排除故障隐患。我公司技术中心工程师即可根据结果进行及时检修与维修。定期进行设备检测检查，找出隐患，尽早排除。</w:t>
      </w:r>
    </w:p>
    <w:p w14:paraId="7DFF0227">
      <w:pPr>
        <w:spacing w:before="312" w:beforeLines="100" w:after="312" w:afterLines="100"/>
        <w:rPr>
          <w:rFonts w:hint="eastAsia" w:ascii="仿宋" w:hAnsi="仿宋" w:eastAsia="仿宋" w:cs="仿宋"/>
          <w:b/>
          <w:sz w:val="24"/>
          <w:szCs w:val="24"/>
        </w:rPr>
      </w:pPr>
      <w:bookmarkStart w:id="82" w:name="_Toc3602"/>
      <w:bookmarkStart w:id="83" w:name="_Toc493017635"/>
      <w:bookmarkStart w:id="84" w:name="_Toc497927650"/>
      <w:bookmarkStart w:id="85" w:name="_Toc533447606"/>
      <w:bookmarkStart w:id="86" w:name="_Toc514609348"/>
      <w:bookmarkStart w:id="87" w:name="_Toc500313120"/>
      <w:bookmarkStart w:id="88" w:name="_Toc490837391"/>
      <w:bookmarkStart w:id="89" w:name="_Toc514611191"/>
      <w:r>
        <w:rPr>
          <w:rFonts w:hint="eastAsia" w:ascii="仿宋" w:hAnsi="仿宋" w:eastAsia="仿宋" w:cs="仿宋"/>
          <w:b/>
          <w:sz w:val="24"/>
          <w:szCs w:val="24"/>
        </w:rPr>
        <w:t>（4）售后服务方式</w:t>
      </w:r>
      <w:bookmarkEnd w:id="82"/>
      <w:bookmarkEnd w:id="83"/>
      <w:bookmarkEnd w:id="84"/>
      <w:bookmarkEnd w:id="85"/>
      <w:bookmarkEnd w:id="86"/>
      <w:bookmarkEnd w:id="87"/>
      <w:bookmarkEnd w:id="88"/>
      <w:bookmarkEnd w:id="89"/>
    </w:p>
    <w:p w14:paraId="2A6601E9">
      <w:pPr>
        <w:spacing w:line="360" w:lineRule="auto"/>
        <w:ind w:firstLine="482" w:firstLineChars="200"/>
        <w:rPr>
          <w:rFonts w:hint="eastAsia" w:ascii="仿宋" w:hAnsi="仿宋" w:eastAsia="仿宋" w:cs="仿宋"/>
          <w:b/>
          <w:sz w:val="24"/>
          <w:szCs w:val="24"/>
        </w:rPr>
      </w:pPr>
      <w:bookmarkStart w:id="90" w:name="_Toc514611193"/>
      <w:bookmarkStart w:id="91" w:name="_Toc490837393"/>
      <w:bookmarkStart w:id="92" w:name="_Toc533447608"/>
      <w:bookmarkStart w:id="93" w:name="_Toc500313122"/>
      <w:bookmarkStart w:id="94" w:name="_Toc493017637"/>
      <w:r>
        <w:rPr>
          <w:rFonts w:hint="eastAsia" w:ascii="仿宋" w:hAnsi="仿宋" w:eastAsia="仿宋" w:cs="仿宋"/>
          <w:b/>
          <w:sz w:val="24"/>
          <w:szCs w:val="24"/>
        </w:rPr>
        <w:t>快速的现场服务</w:t>
      </w:r>
      <w:bookmarkEnd w:id="90"/>
      <w:bookmarkEnd w:id="91"/>
      <w:bookmarkEnd w:id="92"/>
      <w:bookmarkEnd w:id="93"/>
      <w:bookmarkEnd w:id="94"/>
    </w:p>
    <w:p w14:paraId="42C50F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承诺质保期内当监测站点设备出现故障时，立即响应，维修人员到场时间为2小时内，并在4小时内排除故障，如果设备故障仍无法排除，我方将在4小时内提供不低于故障设备档次的备用机，直至故障设备修复，保证监测数据正常及时上传。</w:t>
      </w:r>
    </w:p>
    <w:p w14:paraId="3881077A">
      <w:pPr>
        <w:spacing w:line="360" w:lineRule="auto"/>
        <w:ind w:firstLine="482" w:firstLineChars="200"/>
        <w:rPr>
          <w:rFonts w:hint="eastAsia" w:ascii="仿宋" w:hAnsi="仿宋" w:eastAsia="仿宋" w:cs="仿宋"/>
          <w:b/>
          <w:sz w:val="24"/>
          <w:szCs w:val="24"/>
        </w:rPr>
      </w:pPr>
      <w:bookmarkStart w:id="95" w:name="_Toc490837394"/>
      <w:bookmarkStart w:id="96" w:name="_Toc514611194"/>
      <w:bookmarkStart w:id="97" w:name="_Toc493017638"/>
      <w:bookmarkStart w:id="98" w:name="_Toc533447609"/>
      <w:bookmarkStart w:id="99" w:name="_Toc500313123"/>
      <w:r>
        <w:rPr>
          <w:rFonts w:hint="eastAsia" w:ascii="仿宋" w:hAnsi="仿宋" w:eastAsia="仿宋" w:cs="仿宋"/>
          <w:b/>
          <w:sz w:val="24"/>
          <w:szCs w:val="24"/>
        </w:rPr>
        <w:t>定期访问交流</w:t>
      </w:r>
      <w:bookmarkEnd w:id="95"/>
      <w:bookmarkEnd w:id="96"/>
      <w:bookmarkEnd w:id="97"/>
      <w:bookmarkEnd w:id="98"/>
      <w:bookmarkEnd w:id="99"/>
    </w:p>
    <w:p w14:paraId="18351C3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客户系统运行过程中，我方将采取专人定期、不定期方式进行访问交流，调查项目实施和维护情况，听取用户意见，现场解决用户存在问题，现场对系统进行测试和优化，及时发现系统存在的问题或潜在的故障，提前消除隐患，确保系统安全、稳定的运行，并对此系统运行质量评估。</w:t>
      </w:r>
    </w:p>
    <w:p w14:paraId="05E6F5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客户服务响应方式并不是相互孤立、互不相关的，而是以我公司客户服务中心的组织结构为依托，多种灵活的服务方式相互渗透、紧密结合成为完整统一的客户服务故障响应体系。这种体系经多个大型工作项目的实际运行体验，已被认为是高效可行的最佳故障响应方式。</w:t>
      </w:r>
    </w:p>
    <w:p w14:paraId="36C3F03C">
      <w:pPr>
        <w:spacing w:before="312" w:beforeLines="100" w:after="312" w:afterLines="100"/>
        <w:rPr>
          <w:rFonts w:hint="eastAsia" w:ascii="仿宋" w:hAnsi="仿宋" w:eastAsia="仿宋" w:cs="仿宋"/>
          <w:b/>
          <w:sz w:val="24"/>
          <w:szCs w:val="24"/>
        </w:rPr>
      </w:pPr>
      <w:bookmarkStart w:id="100" w:name="_Toc514611195"/>
      <w:bookmarkStart w:id="101" w:name="_Toc493017639"/>
      <w:bookmarkStart w:id="102" w:name="_Toc490837395"/>
      <w:bookmarkStart w:id="103" w:name="_Toc500313124"/>
      <w:bookmarkStart w:id="104" w:name="_Toc533447610"/>
      <w:r>
        <w:rPr>
          <w:rFonts w:hint="eastAsia" w:ascii="仿宋" w:hAnsi="仿宋" w:eastAsia="仿宋" w:cs="仿宋"/>
          <w:b/>
          <w:sz w:val="24"/>
          <w:szCs w:val="24"/>
        </w:rPr>
        <w:t>（5）故障响应</w:t>
      </w:r>
      <w:bookmarkEnd w:id="100"/>
      <w:bookmarkEnd w:id="101"/>
      <w:bookmarkEnd w:id="102"/>
      <w:bookmarkEnd w:id="103"/>
      <w:bookmarkEnd w:id="104"/>
    </w:p>
    <w:p w14:paraId="13790575">
      <w:pPr>
        <w:pStyle w:val="76"/>
        <w:numPr>
          <w:ilvl w:val="0"/>
          <w:numId w:val="0"/>
        </w:numPr>
        <w:spacing w:line="360" w:lineRule="auto"/>
        <w:ind w:leftChars="0" w:firstLine="482" w:firstLineChars="200"/>
        <w:rPr>
          <w:rFonts w:hint="eastAsia" w:ascii="仿宋" w:hAnsi="仿宋" w:eastAsia="仿宋" w:cs="仿宋"/>
          <w:b/>
          <w:sz w:val="24"/>
          <w:szCs w:val="24"/>
        </w:rPr>
      </w:pPr>
      <w:r>
        <w:rPr>
          <w:rFonts w:hint="eastAsia" w:ascii="仿宋" w:hAnsi="仿宋" w:eastAsia="仿宋" w:cs="仿宋"/>
          <w:b/>
          <w:sz w:val="24"/>
          <w:szCs w:val="24"/>
        </w:rPr>
        <w:t>针对该项目我公司将以优良的服务态度，我司承诺质可通过电话或书面方式解答产品使用方面的疑问，必要时派驻技术人员专门服务。我司承诺质保期内仪器设备发生质量故障，我方将立即响应，维修人员到场时间为2小时内</w:t>
      </w:r>
      <w:r>
        <w:rPr>
          <w:rFonts w:hint="eastAsia" w:ascii="仿宋" w:hAnsi="仿宋" w:eastAsia="仿宋" w:cs="仿宋"/>
          <w:b/>
          <w:sz w:val="24"/>
          <w:szCs w:val="24"/>
          <w:lang w:val="en-US" w:eastAsia="zh-CN"/>
        </w:rPr>
        <w:t>作出响应</w:t>
      </w:r>
      <w:r>
        <w:rPr>
          <w:rFonts w:hint="eastAsia" w:ascii="仿宋" w:hAnsi="仿宋" w:eastAsia="仿宋" w:cs="仿宋"/>
          <w:b/>
          <w:sz w:val="24"/>
          <w:szCs w:val="24"/>
        </w:rPr>
        <w:t>，并在4小时内</w:t>
      </w:r>
      <w:r>
        <w:rPr>
          <w:rFonts w:hint="eastAsia" w:ascii="仿宋" w:hAnsi="仿宋" w:eastAsia="仿宋" w:cs="仿宋"/>
          <w:b/>
          <w:sz w:val="24"/>
          <w:szCs w:val="24"/>
          <w:lang w:val="en-US" w:eastAsia="zh-CN"/>
        </w:rPr>
        <w:t>维护人员到现场处理，</w:t>
      </w:r>
      <w:r>
        <w:rPr>
          <w:rFonts w:hint="eastAsia" w:ascii="仿宋" w:hAnsi="仿宋" w:eastAsia="仿宋" w:cs="仿宋"/>
          <w:sz w:val="24"/>
          <w:szCs w:val="24"/>
        </w:rPr>
        <w:t>在8小时内修复至正常使用状态；遇有严重技术问题，重大故障，</w:t>
      </w:r>
      <w:r>
        <w:rPr>
          <w:rFonts w:hint="eastAsia" w:ascii="仿宋" w:hAnsi="仿宋" w:eastAsia="仿宋" w:cs="仿宋"/>
          <w:b/>
          <w:sz w:val="24"/>
          <w:szCs w:val="24"/>
        </w:rPr>
        <w:t>我方将在4小时内提供不低于故障设备档次的备用机，直至故障设备修复，保证监测数据正常及时上传。</w:t>
      </w:r>
    </w:p>
    <w:p w14:paraId="0C23B9E3">
      <w:pPr>
        <w:spacing w:before="312" w:beforeLines="100" w:after="312" w:afterLines="100"/>
        <w:rPr>
          <w:rFonts w:hint="eastAsia" w:ascii="仿宋" w:hAnsi="仿宋" w:eastAsia="仿宋" w:cs="仿宋"/>
          <w:b/>
          <w:sz w:val="24"/>
          <w:szCs w:val="24"/>
        </w:rPr>
      </w:pPr>
      <w:bookmarkStart w:id="105" w:name="_Toc1884"/>
      <w:bookmarkStart w:id="106" w:name="_Toc493017640"/>
      <w:bookmarkStart w:id="107" w:name="_Toc514611196"/>
      <w:bookmarkStart w:id="108" w:name="_Toc497927651"/>
      <w:bookmarkStart w:id="109" w:name="_Toc514609349"/>
      <w:bookmarkStart w:id="110" w:name="_Toc490837396"/>
      <w:bookmarkStart w:id="111" w:name="_Toc533447611"/>
      <w:bookmarkStart w:id="112" w:name="_Toc500313125"/>
      <w:r>
        <w:rPr>
          <w:rFonts w:hint="eastAsia" w:ascii="仿宋" w:hAnsi="仿宋" w:eastAsia="仿宋" w:cs="仿宋"/>
          <w:b/>
          <w:sz w:val="24"/>
          <w:szCs w:val="24"/>
        </w:rPr>
        <w:t>（6）质保期后服务</w:t>
      </w:r>
      <w:bookmarkEnd w:id="105"/>
      <w:bookmarkEnd w:id="106"/>
      <w:bookmarkEnd w:id="107"/>
      <w:bookmarkEnd w:id="108"/>
      <w:bookmarkEnd w:id="109"/>
      <w:bookmarkEnd w:id="110"/>
      <w:bookmarkEnd w:id="111"/>
      <w:bookmarkEnd w:id="112"/>
    </w:p>
    <w:p w14:paraId="5D306BE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本公司对于质保期后项目售后服务采用有偿服务方式继续为客户提供优质技术支持。</w:t>
      </w:r>
    </w:p>
    <w:p w14:paraId="5A5AEF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本公司建有充足备件库，承诺10年内耗材及备品备件的正常供应。</w:t>
      </w:r>
    </w:p>
    <w:p w14:paraId="1649AF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本公司建有本项目安装调试及售后服务的专门档案，指定专人管理跟踪项目设备运行情况。为本项目长期稳定运行提供有效保证。</w:t>
      </w:r>
    </w:p>
    <w:p w14:paraId="6B766D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收费标准：</w:t>
      </w:r>
    </w:p>
    <w:p w14:paraId="0AE1DB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售后服务合同方式：本公司需要根据项目及客户具体要求制定方案，经核算签定合同后再执行。</w:t>
      </w:r>
    </w:p>
    <w:p w14:paraId="7CD285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叫修服务方式：维修费适当收取，交通和住宿费用另计，需更换的部件按实际发生金额收取。</w:t>
      </w:r>
    </w:p>
    <w:p w14:paraId="244B48C8">
      <w:pPr>
        <w:rPr>
          <w:rFonts w:hint="eastAsia" w:ascii="仿宋" w:hAnsi="仿宋" w:eastAsia="仿宋" w:cs="仿宋"/>
          <w:sz w:val="24"/>
          <w:szCs w:val="24"/>
        </w:rPr>
      </w:pPr>
    </w:p>
    <w:p w14:paraId="622FDF83">
      <w:pPr>
        <w:pStyle w:val="3"/>
        <w:bidi w:val="0"/>
        <w:rPr>
          <w:rFonts w:hint="eastAsia" w:ascii="仿宋" w:hAnsi="仿宋" w:eastAsia="仿宋" w:cs="仿宋"/>
        </w:rPr>
      </w:pPr>
      <w:bookmarkStart w:id="113" w:name="_Toc46155894"/>
      <w:bookmarkStart w:id="114" w:name="_Toc78470103"/>
      <w:bookmarkStart w:id="115" w:name="_Toc1206"/>
      <w:r>
        <w:rPr>
          <w:rFonts w:hint="eastAsia" w:ascii="仿宋" w:hAnsi="仿宋" w:eastAsia="仿宋" w:cs="仿宋"/>
          <w:lang w:val="en-US" w:eastAsia="zh-CN"/>
        </w:rPr>
        <w:t>2</w:t>
      </w:r>
      <w:r>
        <w:rPr>
          <w:rFonts w:hint="eastAsia" w:ascii="仿宋" w:hAnsi="仿宋" w:eastAsia="仿宋" w:cs="仿宋"/>
        </w:rPr>
        <w:t>、技术培训措施</w:t>
      </w:r>
      <w:bookmarkEnd w:id="113"/>
      <w:bookmarkEnd w:id="114"/>
      <w:bookmarkEnd w:id="115"/>
    </w:p>
    <w:p w14:paraId="264DFBE6">
      <w:pPr>
        <w:spacing w:before="312" w:beforeLines="100" w:after="312" w:afterLines="100"/>
        <w:rPr>
          <w:rFonts w:hint="eastAsia" w:ascii="仿宋" w:hAnsi="仿宋" w:eastAsia="仿宋" w:cs="仿宋"/>
          <w:b/>
          <w:sz w:val="24"/>
          <w:szCs w:val="24"/>
        </w:rPr>
      </w:pPr>
      <w:bookmarkStart w:id="116" w:name="_Toc513977328"/>
      <w:bookmarkStart w:id="117" w:name="_Toc484772583"/>
      <w:bookmarkStart w:id="118" w:name="_Toc534733732"/>
      <w:bookmarkStart w:id="119" w:name="_Toc502672670"/>
      <w:bookmarkStart w:id="120" w:name="_Toc514611444"/>
      <w:bookmarkStart w:id="121" w:name="_Toc9151805"/>
      <w:bookmarkStart w:id="122" w:name="_Toc514609522"/>
      <w:bookmarkStart w:id="123" w:name="_Toc533447622"/>
      <w:r>
        <w:rPr>
          <w:rFonts w:hint="eastAsia" w:ascii="仿宋" w:hAnsi="仿宋" w:eastAsia="仿宋" w:cs="仿宋"/>
          <w:b/>
          <w:sz w:val="24"/>
          <w:szCs w:val="24"/>
        </w:rPr>
        <w:t>（1）课程概要</w:t>
      </w:r>
      <w:bookmarkEnd w:id="116"/>
      <w:bookmarkEnd w:id="117"/>
      <w:bookmarkEnd w:id="118"/>
      <w:bookmarkEnd w:id="119"/>
      <w:bookmarkEnd w:id="120"/>
      <w:bookmarkEnd w:id="121"/>
      <w:bookmarkEnd w:id="122"/>
      <w:bookmarkEnd w:id="123"/>
    </w:p>
    <w:p w14:paraId="01A7A8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作为项目实施重要组成部分之一，根据招标要求，在本次项目中我司为用户提供全面的技术培训，包括：培训、食宿，通过上述技术培训，使用户对系统的安装、调试、日常操作和管理维护，以及基本的故障诊断与排错等技术实际操作水平得到提高。</w:t>
      </w:r>
    </w:p>
    <w:p w14:paraId="36E127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现场培训：仪器验收3个月内，在项目现场进行，由我司提供正式的现场培训计划和培训材料提纲，并提供全套的培训材料。</w:t>
      </w:r>
    </w:p>
    <w:p w14:paraId="4859140A">
      <w:pPr>
        <w:spacing w:before="312" w:beforeLines="100" w:after="312" w:afterLines="100"/>
        <w:rPr>
          <w:rFonts w:hint="eastAsia" w:ascii="仿宋" w:hAnsi="仿宋" w:eastAsia="仿宋" w:cs="仿宋"/>
          <w:b/>
          <w:sz w:val="24"/>
          <w:szCs w:val="24"/>
        </w:rPr>
      </w:pPr>
      <w:bookmarkStart w:id="124" w:name="_Toc534733733"/>
      <w:bookmarkStart w:id="125" w:name="_Toc514609523"/>
      <w:bookmarkStart w:id="126" w:name="_Toc9151806"/>
      <w:bookmarkStart w:id="127" w:name="_Toc513977329"/>
      <w:bookmarkStart w:id="128" w:name="_Toc484772584"/>
      <w:bookmarkStart w:id="129" w:name="_Toc533447623"/>
      <w:bookmarkStart w:id="130" w:name="_Toc502672671"/>
      <w:bookmarkStart w:id="131" w:name="_Toc514611445"/>
      <w:r>
        <w:rPr>
          <w:rFonts w:hint="eastAsia" w:ascii="仿宋" w:hAnsi="仿宋" w:eastAsia="仿宋" w:cs="仿宋"/>
          <w:b/>
          <w:sz w:val="24"/>
          <w:szCs w:val="24"/>
        </w:rPr>
        <w:t>（2）培训原则</w:t>
      </w:r>
      <w:bookmarkEnd w:id="124"/>
      <w:bookmarkEnd w:id="125"/>
      <w:bookmarkEnd w:id="126"/>
      <w:bookmarkEnd w:id="127"/>
      <w:bookmarkEnd w:id="128"/>
      <w:bookmarkEnd w:id="129"/>
      <w:bookmarkEnd w:id="130"/>
      <w:bookmarkEnd w:id="131"/>
    </w:p>
    <w:p w14:paraId="3F876450">
      <w:pPr>
        <w:numPr>
          <w:ilvl w:val="0"/>
          <w:numId w:val="26"/>
        </w:numPr>
        <w:tabs>
          <w:tab w:val="left" w:pos="420"/>
        </w:tabs>
        <w:spacing w:line="360" w:lineRule="auto"/>
        <w:rPr>
          <w:rFonts w:hint="eastAsia" w:ascii="仿宋" w:hAnsi="仿宋" w:eastAsia="仿宋" w:cs="仿宋"/>
          <w:b/>
          <w:sz w:val="24"/>
          <w:szCs w:val="24"/>
        </w:rPr>
      </w:pPr>
      <w:r>
        <w:rPr>
          <w:rFonts w:hint="eastAsia" w:ascii="仿宋" w:hAnsi="仿宋" w:eastAsia="仿宋" w:cs="仿宋"/>
          <w:b/>
          <w:sz w:val="24"/>
          <w:szCs w:val="24"/>
        </w:rPr>
        <w:t>适用性</w:t>
      </w:r>
    </w:p>
    <w:p w14:paraId="5A901E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培训课程体系中首先重视的就是培训内容的贴切程度。为此，我司将专门针对本次项目内容编制一套相应的培训计划，一切根据现有系统的设计、实施与维护实际情况量身定做而成。使得技术培训的内容更贴近实际操作过程中遇到的问题，从而提高各个学员的实际运用能力。</w:t>
      </w:r>
    </w:p>
    <w:p w14:paraId="543EC5FC">
      <w:pPr>
        <w:numPr>
          <w:ilvl w:val="0"/>
          <w:numId w:val="27"/>
        </w:numPr>
        <w:spacing w:line="360" w:lineRule="auto"/>
        <w:rPr>
          <w:rFonts w:hint="eastAsia" w:ascii="仿宋" w:hAnsi="仿宋" w:eastAsia="仿宋" w:cs="仿宋"/>
          <w:b/>
          <w:sz w:val="24"/>
          <w:szCs w:val="24"/>
        </w:rPr>
      </w:pPr>
      <w:r>
        <w:rPr>
          <w:rFonts w:hint="eastAsia" w:ascii="仿宋" w:hAnsi="仿宋" w:eastAsia="仿宋" w:cs="仿宋"/>
          <w:b/>
          <w:sz w:val="24"/>
          <w:szCs w:val="24"/>
        </w:rPr>
        <w:t>先进性</w:t>
      </w:r>
    </w:p>
    <w:p w14:paraId="32A3AB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由于本次项目在产品、技术上选用的是同类产品中较为先进的产品和技术，所以本次培训也要坚持先进性原则对培训课程进行设计。我司编写培训方案时专门设置相应的课程，主要介绍项目中涉及的先进技术以及厂家先进产品与技术，使得环保事业能够快速、持续的发展下去。</w:t>
      </w:r>
    </w:p>
    <w:p w14:paraId="1BA1513C">
      <w:pPr>
        <w:numPr>
          <w:ilvl w:val="0"/>
          <w:numId w:val="27"/>
        </w:numPr>
        <w:spacing w:line="360" w:lineRule="auto"/>
        <w:rPr>
          <w:rFonts w:hint="eastAsia" w:ascii="仿宋" w:hAnsi="仿宋" w:eastAsia="仿宋" w:cs="仿宋"/>
          <w:b/>
          <w:sz w:val="24"/>
          <w:szCs w:val="24"/>
        </w:rPr>
      </w:pPr>
      <w:r>
        <w:rPr>
          <w:rFonts w:hint="eastAsia" w:ascii="仿宋" w:hAnsi="仿宋" w:eastAsia="仿宋" w:cs="仿宋"/>
          <w:b/>
          <w:sz w:val="24"/>
          <w:szCs w:val="24"/>
        </w:rPr>
        <w:t>理论结合实践</w:t>
      </w:r>
    </w:p>
    <w:p w14:paraId="3C3828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与本次技术培训的讲师全部都是拥有多年理论和实际工程锤炼出来的资深专家人士，他们不但拥有深厚的理论功底，而且还会结合以往工程的实际案例对本次的产品与技术进行综合性分析。与此同时，在学员的学习过程中还安排了多个针对实际问题的实验，以便保证通过培训的技术人员可以胜任所在的工作岗位，方便日后对相应产品和技术进行操作与管理。</w:t>
      </w:r>
    </w:p>
    <w:p w14:paraId="75077909">
      <w:pPr>
        <w:numPr>
          <w:ilvl w:val="0"/>
          <w:numId w:val="27"/>
        </w:numPr>
        <w:spacing w:line="360" w:lineRule="auto"/>
        <w:rPr>
          <w:rFonts w:hint="eastAsia" w:ascii="仿宋" w:hAnsi="仿宋" w:eastAsia="仿宋" w:cs="仿宋"/>
          <w:b/>
          <w:sz w:val="24"/>
          <w:szCs w:val="24"/>
        </w:rPr>
      </w:pPr>
      <w:r>
        <w:rPr>
          <w:rFonts w:hint="eastAsia" w:ascii="仿宋" w:hAnsi="仿宋" w:eastAsia="仿宋" w:cs="仿宋"/>
          <w:b/>
          <w:sz w:val="24"/>
          <w:szCs w:val="24"/>
        </w:rPr>
        <w:t>服务至上</w:t>
      </w:r>
    </w:p>
    <w:p w14:paraId="7BD6E02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技术培训也是服务形式的一种，我司一向以优质的服务作为企业生存的基石，顾客为上作为企业发展的基本理念。从培训第一天开始，学员都会受到客服人员的跟踪服务，随时针对学员提出的疑问进行讨论，直至学员获得满意的答复，以确保学员在学习深造过程中能营造一种轻松愉快的学习环境。</w:t>
      </w:r>
    </w:p>
    <w:p w14:paraId="7C18641D">
      <w:pPr>
        <w:spacing w:before="312" w:beforeLines="100" w:after="312" w:afterLines="100"/>
        <w:rPr>
          <w:rFonts w:hint="eastAsia" w:ascii="仿宋" w:hAnsi="仿宋" w:eastAsia="仿宋" w:cs="仿宋"/>
          <w:b/>
          <w:sz w:val="24"/>
          <w:szCs w:val="24"/>
        </w:rPr>
      </w:pPr>
      <w:bookmarkStart w:id="132" w:name="_Toc534733734"/>
      <w:bookmarkStart w:id="133" w:name="_Toc484772585"/>
      <w:bookmarkStart w:id="134" w:name="_Toc502672672"/>
      <w:bookmarkStart w:id="135" w:name="_Toc514611446"/>
      <w:bookmarkStart w:id="136" w:name="_Toc533447624"/>
      <w:bookmarkStart w:id="137" w:name="_Toc513977330"/>
      <w:bookmarkStart w:id="138" w:name="_Toc9151807"/>
      <w:bookmarkStart w:id="139" w:name="_Toc514609524"/>
      <w:r>
        <w:rPr>
          <w:rFonts w:hint="eastAsia" w:ascii="仿宋" w:hAnsi="仿宋" w:eastAsia="仿宋" w:cs="仿宋"/>
          <w:b/>
          <w:sz w:val="24"/>
          <w:szCs w:val="24"/>
        </w:rPr>
        <w:t>（3）培训目的</w:t>
      </w:r>
      <w:bookmarkEnd w:id="132"/>
      <w:bookmarkEnd w:id="133"/>
      <w:bookmarkEnd w:id="134"/>
      <w:bookmarkEnd w:id="135"/>
      <w:bookmarkEnd w:id="136"/>
      <w:bookmarkEnd w:id="137"/>
      <w:bookmarkEnd w:id="138"/>
      <w:bookmarkEnd w:id="139"/>
    </w:p>
    <w:p w14:paraId="3AE95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－能够进行较好的周维护，并做好周维护记录。</w:t>
      </w:r>
    </w:p>
    <w:p w14:paraId="47654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－能够进行仪器性能检查，发现出现的问题。</w:t>
      </w:r>
    </w:p>
    <w:p w14:paraId="411BD7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－能够操作仪器和数据采集系统，并且能分析数据的有效性。</w:t>
      </w:r>
    </w:p>
    <w:p w14:paraId="2B9944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－能够对仪器进行校准检查。</w:t>
      </w:r>
    </w:p>
    <w:p w14:paraId="660C16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－能够进行简单仪器设备维护。</w:t>
      </w:r>
    </w:p>
    <w:p w14:paraId="6B7FC4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－根据设备特点及技术要求对采购方的操作人员、维护技术人员、管理人员免费进行培训直至熟练掌握为止。</w:t>
      </w:r>
    </w:p>
    <w:p w14:paraId="3A090E27">
      <w:pPr>
        <w:spacing w:before="312" w:beforeLines="100" w:after="312" w:afterLines="100"/>
        <w:rPr>
          <w:rFonts w:hint="eastAsia" w:ascii="仿宋" w:hAnsi="仿宋" w:eastAsia="仿宋" w:cs="仿宋"/>
          <w:b/>
          <w:sz w:val="24"/>
          <w:szCs w:val="24"/>
        </w:rPr>
      </w:pPr>
      <w:bookmarkStart w:id="140" w:name="_Toc534733735"/>
      <w:bookmarkStart w:id="141" w:name="_Toc9151808"/>
      <w:bookmarkStart w:id="142" w:name="_Toc484772586"/>
      <w:bookmarkStart w:id="143" w:name="_Toc533447625"/>
      <w:bookmarkStart w:id="144" w:name="_Toc514609525"/>
      <w:bookmarkStart w:id="145" w:name="_Toc513977331"/>
      <w:bookmarkStart w:id="146" w:name="_Toc502672673"/>
      <w:bookmarkStart w:id="147" w:name="_Toc514611447"/>
      <w:r>
        <w:rPr>
          <w:rFonts w:hint="eastAsia" w:ascii="仿宋" w:hAnsi="仿宋" w:eastAsia="仿宋" w:cs="仿宋"/>
          <w:b/>
          <w:sz w:val="24"/>
          <w:szCs w:val="24"/>
        </w:rPr>
        <w:t>（4）教学方式</w:t>
      </w:r>
      <w:bookmarkEnd w:id="140"/>
      <w:bookmarkEnd w:id="141"/>
      <w:bookmarkEnd w:id="142"/>
      <w:bookmarkEnd w:id="143"/>
      <w:bookmarkEnd w:id="144"/>
      <w:bookmarkEnd w:id="145"/>
      <w:bookmarkEnd w:id="146"/>
      <w:bookmarkEnd w:id="147"/>
    </w:p>
    <w:p w14:paraId="323AB71D">
      <w:pPr>
        <w:numPr>
          <w:ilvl w:val="0"/>
          <w:numId w:val="27"/>
        </w:numPr>
        <w:spacing w:line="360" w:lineRule="auto"/>
        <w:rPr>
          <w:rFonts w:hint="eastAsia" w:ascii="仿宋" w:hAnsi="仿宋" w:eastAsia="仿宋" w:cs="仿宋"/>
          <w:b/>
          <w:sz w:val="24"/>
          <w:szCs w:val="24"/>
        </w:rPr>
      </w:pPr>
      <w:r>
        <w:rPr>
          <w:rFonts w:hint="eastAsia" w:ascii="仿宋" w:hAnsi="仿宋" w:eastAsia="仿宋" w:cs="仿宋"/>
          <w:b/>
          <w:sz w:val="24"/>
          <w:szCs w:val="24"/>
        </w:rPr>
        <w:t>现场培训</w:t>
      </w:r>
    </w:p>
    <w:p w14:paraId="1B542C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内容：监测方法及原理，常见故障处理、日常运维和操作规程、软件安装说明和远程通讯控制软件的用户手册等。</w:t>
      </w:r>
    </w:p>
    <w:p w14:paraId="2681EC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培训成果：培养维护人员熟悉各类故障的分析及排除方法，熟练掌握设备维护管理的操作，培训结束后，我司将为培训合格的学员颁发培训合格证书。</w:t>
      </w:r>
    </w:p>
    <w:p w14:paraId="1A85E79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满意度监控：现场服务工程师需由受训学员对本次培训做评价，并带回公司。客户服务部门在每项目安装完成之后对受训学员进行电话回访。</w:t>
      </w:r>
    </w:p>
    <w:p w14:paraId="453B5A1B">
      <w:pPr>
        <w:numPr>
          <w:ilvl w:val="0"/>
          <w:numId w:val="27"/>
        </w:numPr>
        <w:spacing w:line="360" w:lineRule="auto"/>
        <w:rPr>
          <w:rFonts w:hint="eastAsia" w:ascii="仿宋" w:hAnsi="仿宋" w:eastAsia="仿宋" w:cs="仿宋"/>
          <w:b/>
          <w:sz w:val="24"/>
          <w:szCs w:val="24"/>
        </w:rPr>
      </w:pPr>
      <w:r>
        <w:rPr>
          <w:rFonts w:hint="eastAsia" w:ascii="仿宋" w:hAnsi="仿宋" w:eastAsia="仿宋" w:cs="仿宋"/>
          <w:b/>
          <w:sz w:val="24"/>
          <w:szCs w:val="24"/>
        </w:rPr>
        <w:t>课堂培训</w:t>
      </w:r>
    </w:p>
    <w:p w14:paraId="3FB422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内容：每个监测站点整个系统的构成及各模块架构及功能、测站整体监测数据分析与应用。</w:t>
      </w:r>
    </w:p>
    <w:p w14:paraId="2D6D3F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资料：发放用户手册，仪器电路和流路结构图，日常维护说明等资料。</w:t>
      </w:r>
    </w:p>
    <w:p w14:paraId="512315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满意度监控：由学员填写《学员培训意见反馈表》，对本次培训进行评估。</w:t>
      </w:r>
    </w:p>
    <w:p w14:paraId="639676F4">
      <w:r>
        <w:rPr>
          <w:rFonts w:hint="eastAsia" w:ascii="仿宋" w:hAnsi="仿宋" w:eastAsia="仿宋" w:cs="仿宋"/>
          <w:sz w:val="24"/>
          <w:szCs w:val="24"/>
        </w:rPr>
        <w:t>培训成果：培养高级维护人员，熟悉各类故障的分析及排除方法，熟练掌握设备维护管理的操作，培训结束后，我司将为培训合格的学员颁发培训合格证书。</w:t>
      </w:r>
    </w:p>
    <w:p w14:paraId="369311BB">
      <w:pPr>
        <w:spacing w:before="41" w:line="221" w:lineRule="auto"/>
        <w:ind w:firstLine="442" w:firstLineChars="100"/>
        <w:rPr>
          <w:rFonts w:hint="eastAsia" w:ascii="宋体" w:hAnsi="宋体"/>
          <w:b/>
          <w:sz w:val="44"/>
          <w:szCs w:val="44"/>
        </w:rPr>
      </w:pPr>
    </w:p>
    <w:sectPr>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docPartObj>
        <w:docPartGallery w:val="autotext"/>
      </w:docPartObj>
    </w:sdtPr>
    <w:sdtContent>
      <w:sdt>
        <w:sdtPr>
          <w:id w:val="1728636285"/>
          <w:docPartObj>
            <w:docPartGallery w:val="autotext"/>
          </w:docPartObj>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1E1E"/>
    <w:multiLevelType w:val="multilevel"/>
    <w:tmpl w:val="07A61E1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C670636"/>
    <w:multiLevelType w:val="multilevel"/>
    <w:tmpl w:val="0C6706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58C4816"/>
    <w:multiLevelType w:val="multilevel"/>
    <w:tmpl w:val="158C4816"/>
    <w:lvl w:ilvl="0" w:tentative="0">
      <w:start w:val="1"/>
      <w:numFmt w:val="decimal"/>
      <w:lvlText w:val="%1."/>
      <w:lvlJc w:val="left"/>
      <w:pPr>
        <w:ind w:left="900" w:hanging="420"/>
      </w:pPr>
      <w:rPr>
        <w:rFonts w:hint="default" w:ascii="Arial" w:hAnsi="Arial"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9452850"/>
    <w:multiLevelType w:val="multilevel"/>
    <w:tmpl w:val="19452850"/>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5">
    <w:nsid w:val="30D22150"/>
    <w:multiLevelType w:val="multilevel"/>
    <w:tmpl w:val="30D2215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3690C6D"/>
    <w:multiLevelType w:val="multilevel"/>
    <w:tmpl w:val="33690C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83C274C"/>
    <w:multiLevelType w:val="multilevel"/>
    <w:tmpl w:val="383C27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97C0E02"/>
    <w:multiLevelType w:val="multilevel"/>
    <w:tmpl w:val="397C0E02"/>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A3B166E"/>
    <w:multiLevelType w:val="multilevel"/>
    <w:tmpl w:val="3A3B166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2917839"/>
    <w:multiLevelType w:val="multilevel"/>
    <w:tmpl w:val="42917839"/>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495D243"/>
    <w:multiLevelType w:val="singleLevel"/>
    <w:tmpl w:val="4495D243"/>
    <w:lvl w:ilvl="0" w:tentative="0">
      <w:start w:val="1"/>
      <w:numFmt w:val="chineseCounting"/>
      <w:suff w:val="nothing"/>
      <w:lvlText w:val="%1、"/>
      <w:lvlJc w:val="left"/>
      <w:rPr>
        <w:rFonts w:hint="eastAsia"/>
      </w:rPr>
    </w:lvl>
  </w:abstractNum>
  <w:abstractNum w:abstractNumId="12">
    <w:nsid w:val="4632354C"/>
    <w:multiLevelType w:val="multilevel"/>
    <w:tmpl w:val="463235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75A12E5"/>
    <w:multiLevelType w:val="multilevel"/>
    <w:tmpl w:val="475A12E5"/>
    <w:lvl w:ilvl="0" w:tentative="0">
      <w:start w:val="1"/>
      <w:numFmt w:val="decimal"/>
      <w:lvlText w:val="4.%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80D6B76"/>
    <w:multiLevelType w:val="multilevel"/>
    <w:tmpl w:val="480D6B76"/>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E927794"/>
    <w:multiLevelType w:val="multilevel"/>
    <w:tmpl w:val="4E927794"/>
    <w:lvl w:ilvl="0" w:tentative="0">
      <w:start w:val="1"/>
      <w:numFmt w:val="decimal"/>
      <w:lvlText w:val="1.%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1D17ED0"/>
    <w:multiLevelType w:val="multilevel"/>
    <w:tmpl w:val="51D17ED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552F2905"/>
    <w:multiLevelType w:val="multilevel"/>
    <w:tmpl w:val="552F2905"/>
    <w:lvl w:ilvl="0" w:tentative="0">
      <w:start w:val="1"/>
      <w:numFmt w:val="decimal"/>
      <w:lvlText w:val="4.%1."/>
      <w:lvlJc w:val="left"/>
      <w:pPr>
        <w:ind w:left="900" w:hanging="420"/>
      </w:pPr>
      <w:rPr>
        <w:rFonts w:hint="eastAsia"/>
      </w:rPr>
    </w:lvl>
    <w:lvl w:ilvl="1" w:tentative="0">
      <w:start w:val="1"/>
      <w:numFmt w:val="decimal"/>
      <w:lvlText w:val="4.%2."/>
      <w:lvlJc w:val="left"/>
      <w:pPr>
        <w:ind w:left="1186" w:hanging="420"/>
      </w:pPr>
      <w:rPr>
        <w:rFonts w:hint="default" w:ascii="Arial" w:hAnsi="Arial" w:cs="Arial"/>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E2622B"/>
    <w:multiLevelType w:val="multilevel"/>
    <w:tmpl w:val="5AE2622B"/>
    <w:lvl w:ilvl="0" w:tentative="0">
      <w:start w:val="1"/>
      <w:numFmt w:val="decimal"/>
      <w:lvlText w:val="2.%1."/>
      <w:lvlJc w:val="left"/>
      <w:pPr>
        <w:ind w:left="8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B0F11D4"/>
    <w:multiLevelType w:val="multilevel"/>
    <w:tmpl w:val="5B0F11D4"/>
    <w:lvl w:ilvl="0" w:tentative="0">
      <w:start w:val="1"/>
      <w:numFmt w:val="decimal"/>
      <w:lvlText w:val="3.%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C202FF"/>
    <w:multiLevelType w:val="multilevel"/>
    <w:tmpl w:val="5EC202FF"/>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EF10050"/>
    <w:multiLevelType w:val="multilevel"/>
    <w:tmpl w:val="5EF1005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62B217D8"/>
    <w:multiLevelType w:val="multilevel"/>
    <w:tmpl w:val="62B217D8"/>
    <w:lvl w:ilvl="0" w:tentative="0">
      <w:start w:val="1"/>
      <w:numFmt w:val="decimal"/>
      <w:lvlText w:val="%1."/>
      <w:lvlJc w:val="left"/>
      <w:pPr>
        <w:ind w:left="600" w:hanging="600"/>
      </w:pPr>
      <w:rPr>
        <w:rFonts w:hint="default"/>
      </w:rPr>
    </w:lvl>
    <w:lvl w:ilvl="1" w:tentative="0">
      <w:start w:val="1"/>
      <w:numFmt w:val="decimal"/>
      <w:isLgl/>
      <w:lvlText w:val="%1.%2"/>
      <w:lvlJc w:val="left"/>
      <w:pPr>
        <w:ind w:left="390" w:hanging="39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3">
    <w:nsid w:val="647226A5"/>
    <w:multiLevelType w:val="multilevel"/>
    <w:tmpl w:val="647226A5"/>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DE07B63"/>
    <w:multiLevelType w:val="multilevel"/>
    <w:tmpl w:val="6DE07B63"/>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E377B2C"/>
    <w:multiLevelType w:val="multilevel"/>
    <w:tmpl w:val="6E377B2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F5F3204"/>
    <w:multiLevelType w:val="multilevel"/>
    <w:tmpl w:val="7F5F3204"/>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3"/>
  </w:num>
  <w:num w:numId="4">
    <w:abstractNumId w:val="10"/>
  </w:num>
  <w:num w:numId="5">
    <w:abstractNumId w:val="17"/>
  </w:num>
  <w:num w:numId="6">
    <w:abstractNumId w:val="5"/>
  </w:num>
  <w:num w:numId="7">
    <w:abstractNumId w:val="15"/>
  </w:num>
  <w:num w:numId="8">
    <w:abstractNumId w:val="18"/>
  </w:num>
  <w:num w:numId="9">
    <w:abstractNumId w:val="19"/>
  </w:num>
  <w:num w:numId="10">
    <w:abstractNumId w:val="13"/>
  </w:num>
  <w:num w:numId="11">
    <w:abstractNumId w:val="12"/>
  </w:num>
  <w:num w:numId="12">
    <w:abstractNumId w:val="23"/>
  </w:num>
  <w:num w:numId="13">
    <w:abstractNumId w:val="0"/>
  </w:num>
  <w:num w:numId="14">
    <w:abstractNumId w:val="20"/>
  </w:num>
  <w:num w:numId="15">
    <w:abstractNumId w:val="25"/>
  </w:num>
  <w:num w:numId="16">
    <w:abstractNumId w:val="9"/>
  </w:num>
  <w:num w:numId="17">
    <w:abstractNumId w:val="14"/>
  </w:num>
  <w:num w:numId="18">
    <w:abstractNumId w:val="26"/>
  </w:num>
  <w:num w:numId="19">
    <w:abstractNumId w:val="8"/>
  </w:num>
  <w:num w:numId="20">
    <w:abstractNumId w:val="16"/>
  </w:num>
  <w:num w:numId="21">
    <w:abstractNumId w:val="24"/>
  </w:num>
  <w:num w:numId="22">
    <w:abstractNumId w:val="7"/>
  </w:num>
  <w:num w:numId="23">
    <w:abstractNumId w:val="22"/>
  </w:num>
  <w:num w:numId="24">
    <w:abstractNumId w:val="11"/>
  </w:num>
  <w:num w:numId="25">
    <w:abstractNumId w:val="6"/>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69B"/>
    <w:rsid w:val="00063AE7"/>
    <w:rsid w:val="00063FB0"/>
    <w:rsid w:val="0007561B"/>
    <w:rsid w:val="000769D9"/>
    <w:rsid w:val="00084A8A"/>
    <w:rsid w:val="00084AF9"/>
    <w:rsid w:val="00087117"/>
    <w:rsid w:val="00091A95"/>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278AE"/>
    <w:rsid w:val="00135396"/>
    <w:rsid w:val="00143BAB"/>
    <w:rsid w:val="00147F6D"/>
    <w:rsid w:val="00152308"/>
    <w:rsid w:val="00154328"/>
    <w:rsid w:val="0015632D"/>
    <w:rsid w:val="00162169"/>
    <w:rsid w:val="00165765"/>
    <w:rsid w:val="00172A27"/>
    <w:rsid w:val="00177B74"/>
    <w:rsid w:val="001A14C6"/>
    <w:rsid w:val="001A2335"/>
    <w:rsid w:val="001B355C"/>
    <w:rsid w:val="001B4416"/>
    <w:rsid w:val="001B464F"/>
    <w:rsid w:val="001B7F79"/>
    <w:rsid w:val="001C149E"/>
    <w:rsid w:val="001C3096"/>
    <w:rsid w:val="001C457B"/>
    <w:rsid w:val="001D156A"/>
    <w:rsid w:val="001D19C8"/>
    <w:rsid w:val="001D5806"/>
    <w:rsid w:val="001D7CBC"/>
    <w:rsid w:val="001F212B"/>
    <w:rsid w:val="001F2D7E"/>
    <w:rsid w:val="002212E4"/>
    <w:rsid w:val="00221C74"/>
    <w:rsid w:val="002234D1"/>
    <w:rsid w:val="00224AC1"/>
    <w:rsid w:val="00234734"/>
    <w:rsid w:val="002502DE"/>
    <w:rsid w:val="00250DF9"/>
    <w:rsid w:val="00255C5F"/>
    <w:rsid w:val="00261BB2"/>
    <w:rsid w:val="00262E70"/>
    <w:rsid w:val="00263322"/>
    <w:rsid w:val="00264FE9"/>
    <w:rsid w:val="00265237"/>
    <w:rsid w:val="0028217A"/>
    <w:rsid w:val="00286D83"/>
    <w:rsid w:val="0029418D"/>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748F2"/>
    <w:rsid w:val="003829EE"/>
    <w:rsid w:val="0038572F"/>
    <w:rsid w:val="00387328"/>
    <w:rsid w:val="0039674B"/>
    <w:rsid w:val="0039714B"/>
    <w:rsid w:val="003A040D"/>
    <w:rsid w:val="003A3FAE"/>
    <w:rsid w:val="003B2CBC"/>
    <w:rsid w:val="003B2DF9"/>
    <w:rsid w:val="003B46F1"/>
    <w:rsid w:val="003B77F0"/>
    <w:rsid w:val="003C2F57"/>
    <w:rsid w:val="003D157A"/>
    <w:rsid w:val="003D52A1"/>
    <w:rsid w:val="003D5736"/>
    <w:rsid w:val="003E00AE"/>
    <w:rsid w:val="003F2CE9"/>
    <w:rsid w:val="003F702E"/>
    <w:rsid w:val="004020C5"/>
    <w:rsid w:val="00407541"/>
    <w:rsid w:val="00417059"/>
    <w:rsid w:val="00420519"/>
    <w:rsid w:val="00427FD3"/>
    <w:rsid w:val="0043176C"/>
    <w:rsid w:val="00433169"/>
    <w:rsid w:val="00433ADF"/>
    <w:rsid w:val="00435497"/>
    <w:rsid w:val="00436068"/>
    <w:rsid w:val="00441FBA"/>
    <w:rsid w:val="00443687"/>
    <w:rsid w:val="00446EA7"/>
    <w:rsid w:val="00457BC3"/>
    <w:rsid w:val="00460296"/>
    <w:rsid w:val="00461CE9"/>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21C9"/>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86D5B"/>
    <w:rsid w:val="00590606"/>
    <w:rsid w:val="005A12BF"/>
    <w:rsid w:val="005A5382"/>
    <w:rsid w:val="005B3C59"/>
    <w:rsid w:val="005C0154"/>
    <w:rsid w:val="005C2BB7"/>
    <w:rsid w:val="005C4626"/>
    <w:rsid w:val="005D0195"/>
    <w:rsid w:val="005D069C"/>
    <w:rsid w:val="005D356E"/>
    <w:rsid w:val="005D5EC3"/>
    <w:rsid w:val="005D7384"/>
    <w:rsid w:val="005E369F"/>
    <w:rsid w:val="005F0514"/>
    <w:rsid w:val="00605CB3"/>
    <w:rsid w:val="0060755D"/>
    <w:rsid w:val="00621922"/>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3D50"/>
    <w:rsid w:val="00683DB8"/>
    <w:rsid w:val="00686774"/>
    <w:rsid w:val="006A71E2"/>
    <w:rsid w:val="006C0AD7"/>
    <w:rsid w:val="006C0D2C"/>
    <w:rsid w:val="006C7BF6"/>
    <w:rsid w:val="006D1C7F"/>
    <w:rsid w:val="006E1A10"/>
    <w:rsid w:val="006E60DD"/>
    <w:rsid w:val="006E7716"/>
    <w:rsid w:val="006F1F39"/>
    <w:rsid w:val="006F3196"/>
    <w:rsid w:val="006F5F71"/>
    <w:rsid w:val="00704A18"/>
    <w:rsid w:val="00706CAD"/>
    <w:rsid w:val="0071702B"/>
    <w:rsid w:val="00717940"/>
    <w:rsid w:val="00727848"/>
    <w:rsid w:val="00734694"/>
    <w:rsid w:val="00744D57"/>
    <w:rsid w:val="007561F1"/>
    <w:rsid w:val="007641DF"/>
    <w:rsid w:val="0076591A"/>
    <w:rsid w:val="0077126E"/>
    <w:rsid w:val="00771B23"/>
    <w:rsid w:val="00773286"/>
    <w:rsid w:val="00774FCB"/>
    <w:rsid w:val="00776876"/>
    <w:rsid w:val="00780B4E"/>
    <w:rsid w:val="00780F4D"/>
    <w:rsid w:val="00781775"/>
    <w:rsid w:val="00781A62"/>
    <w:rsid w:val="00782EEE"/>
    <w:rsid w:val="00796ECA"/>
    <w:rsid w:val="007A0B55"/>
    <w:rsid w:val="007B1C1F"/>
    <w:rsid w:val="007B20A3"/>
    <w:rsid w:val="007B426B"/>
    <w:rsid w:val="007C0605"/>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65851"/>
    <w:rsid w:val="008711A6"/>
    <w:rsid w:val="00873B06"/>
    <w:rsid w:val="00875A6C"/>
    <w:rsid w:val="00877F0C"/>
    <w:rsid w:val="00887503"/>
    <w:rsid w:val="008A0FB7"/>
    <w:rsid w:val="008A1037"/>
    <w:rsid w:val="008A30DB"/>
    <w:rsid w:val="008A402C"/>
    <w:rsid w:val="008A4D95"/>
    <w:rsid w:val="008B2B82"/>
    <w:rsid w:val="008B4000"/>
    <w:rsid w:val="008B4059"/>
    <w:rsid w:val="008C032A"/>
    <w:rsid w:val="008C4D82"/>
    <w:rsid w:val="008D1E20"/>
    <w:rsid w:val="008D21EC"/>
    <w:rsid w:val="008D3E13"/>
    <w:rsid w:val="008F3CEC"/>
    <w:rsid w:val="008F46E1"/>
    <w:rsid w:val="0091258E"/>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0F0D"/>
    <w:rsid w:val="009B46A6"/>
    <w:rsid w:val="009B601C"/>
    <w:rsid w:val="009B6514"/>
    <w:rsid w:val="009B6811"/>
    <w:rsid w:val="009C1EC6"/>
    <w:rsid w:val="009C38FA"/>
    <w:rsid w:val="009C6F49"/>
    <w:rsid w:val="009D2D3D"/>
    <w:rsid w:val="009F0AF0"/>
    <w:rsid w:val="00A02A81"/>
    <w:rsid w:val="00A10171"/>
    <w:rsid w:val="00A10E90"/>
    <w:rsid w:val="00A16A7C"/>
    <w:rsid w:val="00A17293"/>
    <w:rsid w:val="00A17EFF"/>
    <w:rsid w:val="00A25D33"/>
    <w:rsid w:val="00A25DB0"/>
    <w:rsid w:val="00A418CD"/>
    <w:rsid w:val="00A42071"/>
    <w:rsid w:val="00A43126"/>
    <w:rsid w:val="00A63752"/>
    <w:rsid w:val="00A64FB2"/>
    <w:rsid w:val="00A65595"/>
    <w:rsid w:val="00A74369"/>
    <w:rsid w:val="00A7470F"/>
    <w:rsid w:val="00A75856"/>
    <w:rsid w:val="00A7786B"/>
    <w:rsid w:val="00A80992"/>
    <w:rsid w:val="00A8303B"/>
    <w:rsid w:val="00A85038"/>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14BE"/>
    <w:rsid w:val="00BA75DD"/>
    <w:rsid w:val="00BB5A35"/>
    <w:rsid w:val="00BB6450"/>
    <w:rsid w:val="00BC39C3"/>
    <w:rsid w:val="00BE09FA"/>
    <w:rsid w:val="00BE75A7"/>
    <w:rsid w:val="00BF0614"/>
    <w:rsid w:val="00BF3318"/>
    <w:rsid w:val="00C12F21"/>
    <w:rsid w:val="00C23A41"/>
    <w:rsid w:val="00C26C29"/>
    <w:rsid w:val="00C3022A"/>
    <w:rsid w:val="00C31583"/>
    <w:rsid w:val="00C32279"/>
    <w:rsid w:val="00C376AB"/>
    <w:rsid w:val="00C424A1"/>
    <w:rsid w:val="00C424C9"/>
    <w:rsid w:val="00C46F5D"/>
    <w:rsid w:val="00C52E5C"/>
    <w:rsid w:val="00C572E2"/>
    <w:rsid w:val="00C8053E"/>
    <w:rsid w:val="00C81F73"/>
    <w:rsid w:val="00C831C5"/>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116CA"/>
    <w:rsid w:val="00D15877"/>
    <w:rsid w:val="00D20D7E"/>
    <w:rsid w:val="00D2370F"/>
    <w:rsid w:val="00D33AD7"/>
    <w:rsid w:val="00D33B0E"/>
    <w:rsid w:val="00D43277"/>
    <w:rsid w:val="00D44125"/>
    <w:rsid w:val="00D52617"/>
    <w:rsid w:val="00D57478"/>
    <w:rsid w:val="00D62932"/>
    <w:rsid w:val="00D65618"/>
    <w:rsid w:val="00D67C49"/>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2F9B"/>
    <w:rsid w:val="00EE5910"/>
    <w:rsid w:val="00EE7275"/>
    <w:rsid w:val="00EF3DA7"/>
    <w:rsid w:val="00F03554"/>
    <w:rsid w:val="00F0444A"/>
    <w:rsid w:val="00F07152"/>
    <w:rsid w:val="00F0737A"/>
    <w:rsid w:val="00F12579"/>
    <w:rsid w:val="00F13D31"/>
    <w:rsid w:val="00F21827"/>
    <w:rsid w:val="00F23549"/>
    <w:rsid w:val="00F33C8A"/>
    <w:rsid w:val="00F34535"/>
    <w:rsid w:val="00F34EE7"/>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2AB087D"/>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D12962"/>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316932"/>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6F4021B"/>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5AA129C"/>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C121CA"/>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9"/>
    <w:pPr>
      <w:keepNext/>
      <w:topLinePunct/>
      <w:ind w:left="360"/>
      <w:outlineLvl w:val="0"/>
    </w:pPr>
    <w:rPr>
      <w:sz w:val="28"/>
    </w:rPr>
  </w:style>
  <w:style w:type="paragraph" w:styleId="3">
    <w:name w:val="heading 2"/>
    <w:basedOn w:val="1"/>
    <w:next w:val="1"/>
    <w:link w:val="5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9"/>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1"/>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2"/>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3"/>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4"/>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2"/>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9"/>
    <w:qFormat/>
    <w:uiPriority w:val="0"/>
    <w:rPr>
      <w:rFonts w:ascii="宋体"/>
      <w:sz w:val="18"/>
      <w:szCs w:val="18"/>
    </w:rPr>
  </w:style>
  <w:style w:type="paragraph" w:styleId="18">
    <w:name w:val="annotation text"/>
    <w:basedOn w:val="1"/>
    <w:link w:val="81"/>
    <w:qFormat/>
    <w:uiPriority w:val="0"/>
    <w:pPr>
      <w:jc w:val="left"/>
    </w:pPr>
  </w:style>
  <w:style w:type="paragraph" w:styleId="19">
    <w:name w:val="Body Text 3"/>
    <w:basedOn w:val="1"/>
    <w:link w:val="192"/>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5"/>
    <w:qFormat/>
    <w:uiPriority w:val="0"/>
    <w:rPr>
      <w:rFonts w:ascii="宋体" w:hAnsi="宋体"/>
      <w:color w:val="0000FF"/>
      <w:sz w:val="24"/>
      <w:szCs w:val="24"/>
    </w:rPr>
  </w:style>
  <w:style w:type="paragraph" w:styleId="22">
    <w:name w:val="Body Text Indent"/>
    <w:basedOn w:val="1"/>
    <w:link w:val="82"/>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6"/>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4"/>
    <w:qFormat/>
    <w:uiPriority w:val="0"/>
  </w:style>
  <w:style w:type="paragraph" w:styleId="29">
    <w:name w:val="Body Text Indent 2"/>
    <w:basedOn w:val="1"/>
    <w:link w:val="85"/>
    <w:qFormat/>
    <w:uiPriority w:val="0"/>
    <w:pPr>
      <w:ind w:firstLine="480" w:firstLineChars="200"/>
    </w:pPr>
    <w:rPr>
      <w:rFonts w:ascii="宋体" w:hAnsi="宋体"/>
      <w:color w:val="FF0000"/>
      <w:sz w:val="24"/>
      <w:szCs w:val="24"/>
    </w:rPr>
  </w:style>
  <w:style w:type="paragraph" w:styleId="30">
    <w:name w:val="Balloon Text"/>
    <w:basedOn w:val="1"/>
    <w:link w:val="71"/>
    <w:unhideWhenUsed/>
    <w:qFormat/>
    <w:uiPriority w:val="0"/>
    <w:rPr>
      <w:sz w:val="18"/>
      <w:szCs w:val="18"/>
    </w:rPr>
  </w:style>
  <w:style w:type="paragraph" w:styleId="31">
    <w:name w:val="footer"/>
    <w:basedOn w:val="1"/>
    <w:link w:val="67"/>
    <w:qFormat/>
    <w:uiPriority w:val="99"/>
    <w:pPr>
      <w:tabs>
        <w:tab w:val="center" w:pos="4153"/>
        <w:tab w:val="right" w:pos="8306"/>
      </w:tabs>
      <w:snapToGrid w:val="0"/>
      <w:jc w:val="left"/>
    </w:pPr>
    <w:rPr>
      <w:sz w:val="18"/>
    </w:rPr>
  </w:style>
  <w:style w:type="paragraph" w:styleId="32">
    <w:name w:val="header"/>
    <w:basedOn w:val="1"/>
    <w:link w:val="6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6"/>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7"/>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8"/>
    <w:qFormat/>
    <w:uiPriority w:val="0"/>
    <w:rPr>
      <w:rFonts w:ascii="宋体"/>
      <w:b/>
      <w:bCs/>
      <w:color w:val="0000FF"/>
      <w:sz w:val="30"/>
      <w:szCs w:val="24"/>
    </w:rPr>
  </w:style>
  <w:style w:type="paragraph" w:styleId="41">
    <w:name w:val="Message Header"/>
    <w:basedOn w:val="21"/>
    <w:link w:val="193"/>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9"/>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1"/>
    <w:semiHidden/>
    <w:qFormat/>
    <w:uiPriority w:val="0"/>
    <w:rPr>
      <w:b/>
      <w:bCs/>
      <w:szCs w:val="24"/>
    </w:rPr>
  </w:style>
  <w:style w:type="paragraph" w:styleId="47">
    <w:name w:val="Body Text First Indent"/>
    <w:basedOn w:val="21"/>
    <w:link w:val="134"/>
    <w:qFormat/>
    <w:uiPriority w:val="0"/>
    <w:pPr>
      <w:spacing w:after="120"/>
      <w:ind w:firstLine="420" w:firstLineChars="100"/>
    </w:pPr>
    <w:rPr>
      <w:rFonts w:hAnsi="Times New Roman"/>
      <w:color w:val="auto"/>
      <w:szCs w:val="20"/>
    </w:rPr>
  </w:style>
  <w:style w:type="paragraph" w:styleId="48">
    <w:name w:val="Body Text First Indent 2"/>
    <w:basedOn w:val="22"/>
    <w:link w:val="228"/>
    <w:semiHidden/>
    <w:unhideWhenUsed/>
    <w:qFormat/>
    <w:uiPriority w:val="99"/>
    <w:pPr>
      <w:ind w:firstLine="420" w:firstLineChars="200"/>
    </w:pPr>
    <w:rPr>
      <w:szCs w:val="20"/>
    </w:rPr>
  </w:style>
  <w:style w:type="table" w:styleId="50">
    <w:name w:val="Table Grid"/>
    <w:basedOn w:val="4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unhideWhenUsed/>
    <w:qFormat/>
    <w:uiPriority w:val="0"/>
    <w:rPr>
      <w:kern w:val="2"/>
      <w:sz w:val="21"/>
      <w:szCs w:val="21"/>
    </w:rPr>
  </w:style>
  <w:style w:type="character" w:styleId="54">
    <w:name w:val="FollowedHyperlink"/>
    <w:qFormat/>
    <w:uiPriority w:val="0"/>
    <w:rPr>
      <w:color w:val="800080"/>
      <w:u w:val="single"/>
    </w:rPr>
  </w:style>
  <w:style w:type="character" w:styleId="55">
    <w:name w:val="Hyperlink"/>
    <w:basedOn w:val="51"/>
    <w:unhideWhenUsed/>
    <w:qFormat/>
    <w:uiPriority w:val="99"/>
    <w:rPr>
      <w:color w:val="0563C1" w:themeColor="hyperlink"/>
      <w:u w:val="single"/>
      <w14:textFill>
        <w14:solidFill>
          <w14:schemeClr w14:val="hlink"/>
        </w14:solidFill>
      </w14:textFill>
    </w:rPr>
  </w:style>
  <w:style w:type="character" w:styleId="56">
    <w:name w:val="annotation reference"/>
    <w:qFormat/>
    <w:uiPriority w:val="0"/>
    <w:rPr>
      <w:sz w:val="21"/>
      <w:szCs w:val="21"/>
    </w:rPr>
  </w:style>
  <w:style w:type="character" w:customStyle="1" w:styleId="57">
    <w:name w:val="标题 1 字符"/>
    <w:basedOn w:val="51"/>
    <w:link w:val="2"/>
    <w:qFormat/>
    <w:uiPriority w:val="0"/>
    <w:rPr>
      <w:kern w:val="2"/>
      <w:sz w:val="28"/>
    </w:rPr>
  </w:style>
  <w:style w:type="character" w:customStyle="1" w:styleId="58">
    <w:name w:val="标题 2 字符"/>
    <w:basedOn w:val="51"/>
    <w:link w:val="3"/>
    <w:qFormat/>
    <w:uiPriority w:val="0"/>
    <w:rPr>
      <w:rFonts w:ascii="Arial" w:hAnsi="Arial" w:eastAsia="黑体"/>
      <w:b/>
      <w:sz w:val="32"/>
    </w:rPr>
  </w:style>
  <w:style w:type="character" w:customStyle="1" w:styleId="59">
    <w:name w:val="标题 3 字符"/>
    <w:basedOn w:val="51"/>
    <w:link w:val="4"/>
    <w:qFormat/>
    <w:uiPriority w:val="0"/>
    <w:rPr>
      <w:b/>
      <w:sz w:val="32"/>
    </w:rPr>
  </w:style>
  <w:style w:type="character" w:customStyle="1" w:styleId="60">
    <w:name w:val="标题 4 字符"/>
    <w:basedOn w:val="51"/>
    <w:link w:val="5"/>
    <w:qFormat/>
    <w:uiPriority w:val="0"/>
    <w:rPr>
      <w:rFonts w:ascii="Arial" w:hAnsi="Arial" w:eastAsia="黑体"/>
      <w:b/>
      <w:sz w:val="28"/>
    </w:rPr>
  </w:style>
  <w:style w:type="character" w:customStyle="1" w:styleId="61">
    <w:name w:val="标题 5 字符"/>
    <w:basedOn w:val="51"/>
    <w:link w:val="6"/>
    <w:qFormat/>
    <w:uiPriority w:val="0"/>
    <w:rPr>
      <w:b/>
      <w:sz w:val="28"/>
    </w:rPr>
  </w:style>
  <w:style w:type="character" w:customStyle="1" w:styleId="62">
    <w:name w:val="标题 6 字符"/>
    <w:basedOn w:val="51"/>
    <w:link w:val="7"/>
    <w:qFormat/>
    <w:uiPriority w:val="0"/>
    <w:rPr>
      <w:rFonts w:ascii="Arial" w:hAnsi="Arial" w:eastAsia="黑体"/>
      <w:b/>
      <w:sz w:val="24"/>
    </w:rPr>
  </w:style>
  <w:style w:type="character" w:customStyle="1" w:styleId="63">
    <w:name w:val="标题 7 字符"/>
    <w:basedOn w:val="51"/>
    <w:link w:val="8"/>
    <w:qFormat/>
    <w:uiPriority w:val="0"/>
    <w:rPr>
      <w:b/>
      <w:sz w:val="24"/>
    </w:rPr>
  </w:style>
  <w:style w:type="character" w:customStyle="1" w:styleId="64">
    <w:name w:val="标题 8 字符"/>
    <w:basedOn w:val="51"/>
    <w:link w:val="9"/>
    <w:qFormat/>
    <w:uiPriority w:val="0"/>
    <w:rPr>
      <w:rFonts w:ascii="Arial" w:hAnsi="Arial" w:eastAsia="黑体"/>
      <w:sz w:val="24"/>
    </w:rPr>
  </w:style>
  <w:style w:type="character" w:customStyle="1" w:styleId="65">
    <w:name w:val="标题 9 字符"/>
    <w:basedOn w:val="51"/>
    <w:link w:val="10"/>
    <w:qFormat/>
    <w:uiPriority w:val="0"/>
    <w:rPr>
      <w:rFonts w:ascii="Arial" w:hAnsi="Arial" w:eastAsia="黑体"/>
      <w:sz w:val="24"/>
    </w:rPr>
  </w:style>
  <w:style w:type="character" w:customStyle="1" w:styleId="66">
    <w:name w:val="纯文本 字符"/>
    <w:link w:val="26"/>
    <w:qFormat/>
    <w:uiPriority w:val="0"/>
    <w:rPr>
      <w:rFonts w:ascii="宋体" w:hAnsi="Courier New"/>
      <w:kern w:val="2"/>
      <w:sz w:val="21"/>
    </w:rPr>
  </w:style>
  <w:style w:type="character" w:customStyle="1" w:styleId="67">
    <w:name w:val="页脚 字符"/>
    <w:basedOn w:val="51"/>
    <w:link w:val="31"/>
    <w:qFormat/>
    <w:uiPriority w:val="99"/>
    <w:rPr>
      <w:kern w:val="2"/>
      <w:sz w:val="18"/>
    </w:rPr>
  </w:style>
  <w:style w:type="character" w:customStyle="1" w:styleId="68">
    <w:name w:val="页眉 字符"/>
    <w:link w:val="32"/>
    <w:qFormat/>
    <w:uiPriority w:val="99"/>
    <w:rPr>
      <w:kern w:val="2"/>
      <w:sz w:val="18"/>
    </w:rPr>
  </w:style>
  <w:style w:type="character" w:customStyle="1" w:styleId="69">
    <w:name w:val="标题 字符"/>
    <w:link w:val="45"/>
    <w:qFormat/>
    <w:uiPriority w:val="0"/>
    <w:rPr>
      <w:rFonts w:ascii="黑体" w:eastAsia="黑体"/>
      <w:snapToGrid w:val="0"/>
      <w:kern w:val="2"/>
      <w:sz w:val="28"/>
    </w:rPr>
  </w:style>
  <w:style w:type="paragraph" w:customStyle="1" w:styleId="70">
    <w:name w:val="Char Char Char1 Char Char Char Char"/>
    <w:basedOn w:val="1"/>
    <w:qFormat/>
    <w:uiPriority w:val="0"/>
    <w:rPr>
      <w:szCs w:val="21"/>
    </w:rPr>
  </w:style>
  <w:style w:type="character" w:customStyle="1" w:styleId="71">
    <w:name w:val="批注框文本 字符"/>
    <w:basedOn w:val="51"/>
    <w:link w:val="30"/>
    <w:qFormat/>
    <w:uiPriority w:val="0"/>
    <w:rPr>
      <w:kern w:val="2"/>
      <w:sz w:val="18"/>
      <w:szCs w:val="18"/>
    </w:rPr>
  </w:style>
  <w:style w:type="character" w:customStyle="1" w:styleId="72">
    <w:name w:val="正文缩进 字符"/>
    <w:link w:val="16"/>
    <w:qFormat/>
    <w:uiPriority w:val="0"/>
    <w:rPr>
      <w:rFonts w:ascii="@楷体" w:hAnsi="Symbol" w:eastAsia="楷体"/>
      <w:kern w:val="28"/>
      <w:sz w:val="15"/>
    </w:rPr>
  </w:style>
  <w:style w:type="paragraph" w:customStyle="1" w:styleId="73">
    <w:name w:val="列出段落1"/>
    <w:basedOn w:val="1"/>
    <w:link w:val="74"/>
    <w:qFormat/>
    <w:uiPriority w:val="34"/>
    <w:pPr>
      <w:ind w:firstLine="420" w:firstLineChars="200"/>
    </w:pPr>
    <w:rPr>
      <w:rFonts w:ascii="Calibri" w:hAnsi="Calibri" w:cs="Calibri"/>
      <w:szCs w:val="21"/>
    </w:rPr>
  </w:style>
  <w:style w:type="character" w:customStyle="1" w:styleId="74">
    <w:name w:val="列出段落 Char"/>
    <w:link w:val="73"/>
    <w:qFormat/>
    <w:uiPriority w:val="34"/>
    <w:rPr>
      <w:rFonts w:ascii="Calibri" w:hAnsi="Calibri" w:cs="Calibri"/>
      <w:kern w:val="2"/>
      <w:sz w:val="21"/>
      <w:szCs w:val="21"/>
    </w:rPr>
  </w:style>
  <w:style w:type="character" w:customStyle="1" w:styleId="75">
    <w:name w:val="正文文本 字符"/>
    <w:basedOn w:val="51"/>
    <w:link w:val="21"/>
    <w:qFormat/>
    <w:uiPriority w:val="0"/>
    <w:rPr>
      <w:rFonts w:ascii="宋体" w:hAnsi="宋体"/>
      <w:color w:val="0000FF"/>
      <w:kern w:val="2"/>
      <w:sz w:val="24"/>
      <w:szCs w:val="24"/>
    </w:rPr>
  </w:style>
  <w:style w:type="paragraph" w:styleId="76">
    <w:name w:val="List Paragraph"/>
    <w:basedOn w:val="1"/>
    <w:qFormat/>
    <w:uiPriority w:val="99"/>
    <w:pPr>
      <w:ind w:firstLine="420" w:firstLineChars="200"/>
    </w:pPr>
  </w:style>
  <w:style w:type="table" w:customStyle="1" w:styleId="77">
    <w:name w:val="网格型1"/>
    <w:basedOn w:val="4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正文缩进 Char"/>
    <w:qFormat/>
    <w:uiPriority w:val="0"/>
    <w:rPr>
      <w:rFonts w:ascii="@楷体" w:hAnsi="Symbol" w:eastAsia="楷体"/>
      <w:kern w:val="28"/>
      <w:sz w:val="15"/>
      <w:lang w:val="en-US" w:eastAsia="zh-CN" w:bidi="ar-SA"/>
    </w:rPr>
  </w:style>
  <w:style w:type="character" w:customStyle="1" w:styleId="79">
    <w:name w:val="文档结构图 字符1"/>
    <w:link w:val="17"/>
    <w:qFormat/>
    <w:uiPriority w:val="0"/>
    <w:rPr>
      <w:rFonts w:ascii="宋体"/>
      <w:kern w:val="2"/>
      <w:sz w:val="18"/>
      <w:szCs w:val="18"/>
    </w:rPr>
  </w:style>
  <w:style w:type="character" w:customStyle="1" w:styleId="80">
    <w:name w:val="文档结构图 字符"/>
    <w:basedOn w:val="51"/>
    <w:qFormat/>
    <w:uiPriority w:val="0"/>
    <w:rPr>
      <w:rFonts w:ascii="Microsoft YaHei UI" w:eastAsia="Microsoft YaHei UI"/>
      <w:kern w:val="2"/>
      <w:sz w:val="18"/>
      <w:szCs w:val="18"/>
    </w:rPr>
  </w:style>
  <w:style w:type="character" w:customStyle="1" w:styleId="81">
    <w:name w:val="批注文字 字符"/>
    <w:basedOn w:val="51"/>
    <w:link w:val="18"/>
    <w:qFormat/>
    <w:uiPriority w:val="0"/>
    <w:rPr>
      <w:kern w:val="2"/>
      <w:sz w:val="21"/>
    </w:rPr>
  </w:style>
  <w:style w:type="character" w:customStyle="1" w:styleId="82">
    <w:name w:val="正文文本缩进 字符"/>
    <w:basedOn w:val="51"/>
    <w:link w:val="22"/>
    <w:qFormat/>
    <w:uiPriority w:val="0"/>
    <w:rPr>
      <w:kern w:val="2"/>
      <w:sz w:val="21"/>
      <w:szCs w:val="24"/>
    </w:rPr>
  </w:style>
  <w:style w:type="character" w:customStyle="1" w:styleId="83">
    <w:name w:val="纯文本 Char"/>
    <w:qFormat/>
    <w:uiPriority w:val="0"/>
    <w:rPr>
      <w:rFonts w:ascii="宋体" w:hAnsi="Courier New"/>
      <w:kern w:val="2"/>
      <w:sz w:val="21"/>
    </w:rPr>
  </w:style>
  <w:style w:type="character" w:customStyle="1" w:styleId="84">
    <w:name w:val="日期 字符"/>
    <w:basedOn w:val="51"/>
    <w:link w:val="28"/>
    <w:qFormat/>
    <w:uiPriority w:val="0"/>
    <w:rPr>
      <w:kern w:val="2"/>
      <w:sz w:val="21"/>
    </w:rPr>
  </w:style>
  <w:style w:type="character" w:customStyle="1" w:styleId="85">
    <w:name w:val="正文文本缩进 2 字符"/>
    <w:basedOn w:val="51"/>
    <w:link w:val="29"/>
    <w:qFormat/>
    <w:uiPriority w:val="0"/>
    <w:rPr>
      <w:rFonts w:ascii="宋体" w:hAnsi="宋体"/>
      <w:color w:val="FF0000"/>
      <w:kern w:val="2"/>
      <w:sz w:val="24"/>
      <w:szCs w:val="24"/>
    </w:rPr>
  </w:style>
  <w:style w:type="character" w:customStyle="1" w:styleId="86">
    <w:name w:val="页脚 Char"/>
    <w:qFormat/>
    <w:uiPriority w:val="0"/>
    <w:rPr>
      <w:kern w:val="2"/>
      <w:sz w:val="18"/>
      <w:szCs w:val="18"/>
      <w:lang w:val="en-US" w:eastAsia="zh-CN"/>
    </w:rPr>
  </w:style>
  <w:style w:type="character" w:customStyle="1" w:styleId="87">
    <w:name w:val="正文文本缩进 3 字符"/>
    <w:basedOn w:val="51"/>
    <w:link w:val="37"/>
    <w:qFormat/>
    <w:uiPriority w:val="0"/>
    <w:rPr>
      <w:rFonts w:ascii="宋体"/>
      <w:kern w:val="2"/>
      <w:sz w:val="24"/>
      <w:szCs w:val="24"/>
    </w:rPr>
  </w:style>
  <w:style w:type="character" w:customStyle="1" w:styleId="88">
    <w:name w:val="正文文本 2 字符"/>
    <w:basedOn w:val="51"/>
    <w:link w:val="40"/>
    <w:qFormat/>
    <w:uiPriority w:val="0"/>
    <w:rPr>
      <w:rFonts w:ascii="宋体"/>
      <w:b/>
      <w:bCs/>
      <w:color w:val="0000FF"/>
      <w:kern w:val="2"/>
      <w:sz w:val="30"/>
      <w:szCs w:val="24"/>
    </w:rPr>
  </w:style>
  <w:style w:type="character" w:customStyle="1" w:styleId="89">
    <w:name w:val="HTML 预设格式 字符1"/>
    <w:link w:val="42"/>
    <w:qFormat/>
    <w:uiPriority w:val="99"/>
    <w:rPr>
      <w:rFonts w:ascii="宋体" w:hAnsi="宋体" w:cs="宋体"/>
      <w:sz w:val="24"/>
      <w:szCs w:val="24"/>
    </w:rPr>
  </w:style>
  <w:style w:type="character" w:customStyle="1" w:styleId="90">
    <w:name w:val="HTML 预设格式 字符"/>
    <w:basedOn w:val="51"/>
    <w:semiHidden/>
    <w:qFormat/>
    <w:uiPriority w:val="99"/>
    <w:rPr>
      <w:rFonts w:ascii="Courier New" w:hAnsi="Courier New" w:cs="Courier New"/>
      <w:kern w:val="2"/>
    </w:rPr>
  </w:style>
  <w:style w:type="character" w:customStyle="1" w:styleId="91">
    <w:name w:val="批注主题 字符"/>
    <w:basedOn w:val="81"/>
    <w:link w:val="46"/>
    <w:semiHidden/>
    <w:qFormat/>
    <w:uiPriority w:val="0"/>
    <w:rPr>
      <w:b/>
      <w:bCs/>
      <w:kern w:val="2"/>
      <w:sz w:val="21"/>
      <w:szCs w:val="24"/>
    </w:rPr>
  </w:style>
  <w:style w:type="character" w:customStyle="1" w:styleId="92">
    <w:name w:val="txt41"/>
    <w:qFormat/>
    <w:uiPriority w:val="0"/>
    <w:rPr>
      <w:b/>
      <w:bCs/>
      <w:color w:val="000000"/>
      <w:sz w:val="29"/>
      <w:szCs w:val="29"/>
    </w:rPr>
  </w:style>
  <w:style w:type="character" w:customStyle="1" w:styleId="93">
    <w:name w:val="样式12 Char"/>
    <w:link w:val="94"/>
    <w:qFormat/>
    <w:locked/>
    <w:uiPriority w:val="0"/>
    <w:rPr>
      <w:kern w:val="2"/>
      <w:sz w:val="24"/>
    </w:rPr>
  </w:style>
  <w:style w:type="paragraph" w:customStyle="1" w:styleId="94">
    <w:name w:val="样式12"/>
    <w:basedOn w:val="1"/>
    <w:link w:val="93"/>
    <w:qFormat/>
    <w:uiPriority w:val="0"/>
    <w:pPr>
      <w:tabs>
        <w:tab w:val="left" w:pos="533"/>
      </w:tabs>
      <w:ind w:left="420" w:hanging="420"/>
    </w:pPr>
    <w:rPr>
      <w:sz w:val="24"/>
    </w:rPr>
  </w:style>
  <w:style w:type="character" w:customStyle="1" w:styleId="95">
    <w:name w:val="txt91"/>
    <w:qFormat/>
    <w:uiPriority w:val="0"/>
    <w:rPr>
      <w:b/>
      <w:bCs/>
      <w:color w:val="330066"/>
      <w:sz w:val="22"/>
      <w:szCs w:val="22"/>
    </w:rPr>
  </w:style>
  <w:style w:type="character" w:customStyle="1" w:styleId="96">
    <w:name w:val="txt14"/>
    <w:qFormat/>
    <w:uiPriority w:val="0"/>
    <w:rPr>
      <w:color w:val="000000"/>
      <w:sz w:val="29"/>
      <w:szCs w:val="29"/>
    </w:rPr>
  </w:style>
  <w:style w:type="paragraph" w:customStyle="1" w:styleId="97">
    <w:name w:val="大标题"/>
    <w:basedOn w:val="1"/>
    <w:qFormat/>
    <w:uiPriority w:val="0"/>
    <w:pPr>
      <w:jc w:val="center"/>
    </w:pPr>
    <w:rPr>
      <w:rFonts w:ascii="黑体" w:eastAsia="黑体" w:cs="宋体"/>
      <w:b/>
      <w:bCs/>
      <w:sz w:val="32"/>
    </w:rPr>
  </w:style>
  <w:style w:type="paragraph" w:customStyle="1" w:styleId="98">
    <w:name w:val="4 Char"/>
    <w:basedOn w:val="1"/>
    <w:qFormat/>
    <w:uiPriority w:val="0"/>
    <w:rPr>
      <w:szCs w:val="24"/>
    </w:rPr>
  </w:style>
  <w:style w:type="paragraph" w:customStyle="1" w:styleId="99">
    <w:name w:val="Char Char Char1"/>
    <w:basedOn w:val="1"/>
    <w:qFormat/>
    <w:uiPriority w:val="0"/>
    <w:rPr>
      <w:szCs w:val="24"/>
    </w:rPr>
  </w:style>
  <w:style w:type="paragraph" w:customStyle="1" w:styleId="10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2">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4">
    <w:name w:val="Char"/>
    <w:basedOn w:val="1"/>
    <w:qFormat/>
    <w:uiPriority w:val="0"/>
    <w:rPr>
      <w:szCs w:val="21"/>
    </w:rPr>
  </w:style>
  <w:style w:type="paragraph" w:customStyle="1" w:styleId="105">
    <w:name w:val="列出段落2"/>
    <w:basedOn w:val="1"/>
    <w:qFormat/>
    <w:uiPriority w:val="0"/>
    <w:pPr>
      <w:ind w:firstLine="420" w:firstLineChars="200"/>
    </w:pPr>
    <w:rPr>
      <w:rFonts w:ascii="Calibri" w:hAnsi="Calibri" w:cs="Calibri"/>
      <w:szCs w:val="21"/>
    </w:rPr>
  </w:style>
  <w:style w:type="paragraph" w:customStyle="1" w:styleId="106">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7">
    <w:name w:val="Char1"/>
    <w:basedOn w:val="1"/>
    <w:qFormat/>
    <w:uiPriority w:val="0"/>
    <w:rPr>
      <w:szCs w:val="24"/>
    </w:rPr>
  </w:style>
  <w:style w:type="paragraph" w:customStyle="1" w:styleId="108">
    <w:name w:val="Char Char Char Char"/>
    <w:basedOn w:val="1"/>
    <w:qFormat/>
    <w:uiPriority w:val="0"/>
    <w:pPr>
      <w:adjustRightInd w:val="0"/>
      <w:spacing w:line="360" w:lineRule="auto"/>
    </w:pPr>
    <w:rPr>
      <w:rFonts w:ascii="Tahoma" w:hAnsi="Tahoma"/>
      <w:kern w:val="0"/>
      <w:sz w:val="24"/>
    </w:rPr>
  </w:style>
  <w:style w:type="paragraph" w:customStyle="1" w:styleId="109">
    <w:name w:val="内容文字"/>
    <w:basedOn w:val="1"/>
    <w:qFormat/>
    <w:uiPriority w:val="0"/>
    <w:pPr>
      <w:spacing w:line="360" w:lineRule="exact"/>
    </w:pPr>
    <w:rPr>
      <w:rFonts w:ascii="宋体"/>
      <w:sz w:val="24"/>
    </w:rPr>
  </w:style>
  <w:style w:type="paragraph" w:customStyle="1" w:styleId="110">
    <w:name w:val="tablecontents"/>
    <w:basedOn w:val="1"/>
    <w:qFormat/>
    <w:uiPriority w:val="0"/>
    <w:pPr>
      <w:widowControl/>
      <w:spacing w:after="60"/>
    </w:pPr>
    <w:rPr>
      <w:rFonts w:ascii="Arial" w:hAnsi="Arial"/>
      <w:kern w:val="0"/>
      <w:sz w:val="20"/>
    </w:rPr>
  </w:style>
  <w:style w:type="paragraph" w:customStyle="1" w:styleId="111">
    <w:name w:val="5 Char Char Char Char"/>
    <w:basedOn w:val="1"/>
    <w:qFormat/>
    <w:uiPriority w:val="0"/>
    <w:pPr>
      <w:keepNext/>
      <w:keepLines/>
      <w:spacing w:line="360" w:lineRule="auto"/>
      <w:ind w:firstLine="480" w:firstLineChars="200"/>
    </w:pPr>
    <w:rPr>
      <w:kern w:val="0"/>
      <w:sz w:val="24"/>
    </w:rPr>
  </w:style>
  <w:style w:type="paragraph" w:customStyle="1" w:styleId="112">
    <w:name w:val="Char Char Char Char Char Char Char"/>
    <w:basedOn w:val="1"/>
    <w:qFormat/>
    <w:uiPriority w:val="0"/>
    <w:pPr>
      <w:adjustRightInd w:val="0"/>
      <w:spacing w:line="360" w:lineRule="auto"/>
    </w:pPr>
    <w:rPr>
      <w:rFonts w:ascii="Tahoma" w:hAnsi="Tahoma"/>
      <w:kern w:val="0"/>
      <w:sz w:val="24"/>
    </w:rPr>
  </w:style>
  <w:style w:type="character" w:customStyle="1" w:styleId="113">
    <w:name w:val="readmail_locationtip"/>
    <w:qFormat/>
    <w:uiPriority w:val="0"/>
  </w:style>
  <w:style w:type="table" w:customStyle="1" w:styleId="114">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5">
    <w:name w:val="TOC 11"/>
    <w:basedOn w:val="1"/>
    <w:next w:val="1"/>
    <w:qFormat/>
    <w:locked/>
    <w:uiPriority w:val="39"/>
    <w:rPr>
      <w:szCs w:val="21"/>
    </w:rPr>
  </w:style>
  <w:style w:type="character" w:customStyle="1" w:styleId="116">
    <w:name w:val="副标题 字符"/>
    <w:basedOn w:val="51"/>
    <w:link w:val="35"/>
    <w:qFormat/>
    <w:uiPriority w:val="0"/>
    <w:rPr>
      <w:rFonts w:ascii="Cambria" w:hAnsi="Cambria"/>
      <w:b/>
      <w:bCs/>
      <w:kern w:val="28"/>
      <w:sz w:val="32"/>
      <w:szCs w:val="32"/>
    </w:rPr>
  </w:style>
  <w:style w:type="character" w:customStyle="1" w:styleId="117">
    <w:name w:val="技术规范书正文 Char"/>
    <w:link w:val="118"/>
    <w:qFormat/>
    <w:locked/>
    <w:uiPriority w:val="0"/>
    <w:rPr>
      <w:kern w:val="2"/>
      <w:sz w:val="24"/>
      <w:szCs w:val="24"/>
    </w:rPr>
  </w:style>
  <w:style w:type="paragraph" w:customStyle="1" w:styleId="118">
    <w:name w:val="技术规范书正文"/>
    <w:link w:val="117"/>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9">
    <w:name w:val="TOC 41"/>
    <w:basedOn w:val="1"/>
    <w:next w:val="1"/>
    <w:qFormat/>
    <w:locked/>
    <w:uiPriority w:val="0"/>
    <w:pPr>
      <w:ind w:left="1260" w:leftChars="600"/>
    </w:pPr>
    <w:rPr>
      <w:szCs w:val="21"/>
    </w:rPr>
  </w:style>
  <w:style w:type="paragraph" w:customStyle="1" w:styleId="120">
    <w:name w:val="TOC 51"/>
    <w:basedOn w:val="1"/>
    <w:next w:val="1"/>
    <w:qFormat/>
    <w:locked/>
    <w:uiPriority w:val="0"/>
    <w:pPr>
      <w:ind w:left="1680" w:leftChars="800"/>
    </w:pPr>
    <w:rPr>
      <w:szCs w:val="21"/>
    </w:rPr>
  </w:style>
  <w:style w:type="paragraph" w:customStyle="1" w:styleId="121">
    <w:name w:val="TOC 71"/>
    <w:basedOn w:val="1"/>
    <w:next w:val="1"/>
    <w:qFormat/>
    <w:locked/>
    <w:uiPriority w:val="0"/>
    <w:pPr>
      <w:ind w:left="2520" w:leftChars="1200"/>
    </w:pPr>
    <w:rPr>
      <w:szCs w:val="21"/>
    </w:rPr>
  </w:style>
  <w:style w:type="paragraph" w:customStyle="1" w:styleId="122">
    <w:name w:val="TOC 21"/>
    <w:basedOn w:val="1"/>
    <w:next w:val="1"/>
    <w:qFormat/>
    <w:locked/>
    <w:uiPriority w:val="0"/>
    <w:pPr>
      <w:ind w:left="420" w:leftChars="200"/>
    </w:pPr>
    <w:rPr>
      <w:szCs w:val="21"/>
    </w:rPr>
  </w:style>
  <w:style w:type="paragraph" w:customStyle="1" w:styleId="123">
    <w:name w:val="TOC 61"/>
    <w:basedOn w:val="1"/>
    <w:next w:val="1"/>
    <w:qFormat/>
    <w:locked/>
    <w:uiPriority w:val="0"/>
    <w:pPr>
      <w:ind w:left="2100" w:leftChars="1000"/>
    </w:pPr>
    <w:rPr>
      <w:szCs w:val="21"/>
    </w:rPr>
  </w:style>
  <w:style w:type="paragraph" w:customStyle="1" w:styleId="124">
    <w:name w:val="TOC 31"/>
    <w:basedOn w:val="1"/>
    <w:next w:val="1"/>
    <w:qFormat/>
    <w:locked/>
    <w:uiPriority w:val="0"/>
    <w:pPr>
      <w:ind w:left="840" w:leftChars="400"/>
    </w:pPr>
    <w:rPr>
      <w:szCs w:val="21"/>
    </w:rPr>
  </w:style>
  <w:style w:type="paragraph" w:customStyle="1" w:styleId="125">
    <w:name w:val="TOC 91"/>
    <w:basedOn w:val="1"/>
    <w:next w:val="1"/>
    <w:qFormat/>
    <w:locked/>
    <w:uiPriority w:val="0"/>
    <w:pPr>
      <w:ind w:left="3360" w:leftChars="1600"/>
    </w:pPr>
    <w:rPr>
      <w:szCs w:val="21"/>
    </w:rPr>
  </w:style>
  <w:style w:type="paragraph" w:customStyle="1" w:styleId="126">
    <w:name w:val="TOC 81"/>
    <w:basedOn w:val="1"/>
    <w:next w:val="1"/>
    <w:qFormat/>
    <w:locked/>
    <w:uiPriority w:val="0"/>
    <w:pPr>
      <w:ind w:left="2940" w:leftChars="1400"/>
    </w:pPr>
    <w:rPr>
      <w:szCs w:val="21"/>
    </w:rPr>
  </w:style>
  <w:style w:type="paragraph" w:customStyle="1" w:styleId="127">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8">
    <w:name w:val="正文1"/>
    <w:basedOn w:val="1"/>
    <w:link w:val="173"/>
    <w:qFormat/>
    <w:uiPriority w:val="0"/>
    <w:pPr>
      <w:adjustRightInd w:val="0"/>
      <w:spacing w:line="360" w:lineRule="atLeast"/>
      <w:jc w:val="left"/>
      <w:textAlignment w:val="baseline"/>
    </w:pPr>
    <w:rPr>
      <w:rFonts w:ascii="宋体"/>
      <w:kern w:val="0"/>
      <w:sz w:val="24"/>
    </w:rPr>
  </w:style>
  <w:style w:type="paragraph" w:customStyle="1" w:styleId="129">
    <w:name w:val="样式1"/>
    <w:basedOn w:val="1"/>
    <w:link w:val="172"/>
    <w:qFormat/>
    <w:uiPriority w:val="0"/>
    <w:pPr>
      <w:adjustRightInd w:val="0"/>
      <w:spacing w:line="420" w:lineRule="auto"/>
      <w:jc w:val="center"/>
      <w:textAlignment w:val="baseline"/>
    </w:pPr>
    <w:rPr>
      <w:rFonts w:ascii="宋体"/>
      <w:kern w:val="0"/>
      <w:sz w:val="24"/>
      <w:szCs w:val="24"/>
    </w:rPr>
  </w:style>
  <w:style w:type="paragraph" w:customStyle="1" w:styleId="130">
    <w:name w:val="Char Char1 Char"/>
    <w:basedOn w:val="1"/>
    <w:qFormat/>
    <w:uiPriority w:val="0"/>
    <w:rPr>
      <w:rFonts w:ascii="宋体"/>
      <w:kern w:val="0"/>
      <w:sz w:val="24"/>
    </w:rPr>
  </w:style>
  <w:style w:type="paragraph" w:customStyle="1" w:styleId="131">
    <w:name w:val="纯文本1"/>
    <w:basedOn w:val="1"/>
    <w:qFormat/>
    <w:uiPriority w:val="0"/>
    <w:rPr>
      <w:rFonts w:ascii="宋体" w:hAnsi="Courier New"/>
    </w:rPr>
  </w:style>
  <w:style w:type="paragraph" w:customStyle="1" w:styleId="132">
    <w:name w:val="p0"/>
    <w:basedOn w:val="1"/>
    <w:qFormat/>
    <w:uiPriority w:val="0"/>
    <w:pPr>
      <w:widowControl/>
    </w:pPr>
    <w:rPr>
      <w:kern w:val="0"/>
      <w:szCs w:val="21"/>
    </w:rPr>
  </w:style>
  <w:style w:type="paragraph" w:customStyle="1" w:styleId="133">
    <w:name w:val="Char Char Char Char1"/>
    <w:basedOn w:val="1"/>
    <w:qFormat/>
    <w:uiPriority w:val="0"/>
    <w:rPr>
      <w:szCs w:val="24"/>
    </w:rPr>
  </w:style>
  <w:style w:type="character" w:customStyle="1" w:styleId="134">
    <w:name w:val="正文文本首行缩进 字符"/>
    <w:basedOn w:val="75"/>
    <w:link w:val="47"/>
    <w:qFormat/>
    <w:uiPriority w:val="0"/>
    <w:rPr>
      <w:rFonts w:ascii="宋体" w:hAnsi="宋体"/>
      <w:color w:val="0000FF"/>
      <w:kern w:val="2"/>
      <w:sz w:val="24"/>
      <w:szCs w:val="24"/>
    </w:rPr>
  </w:style>
  <w:style w:type="character" w:customStyle="1" w:styleId="135">
    <w:name w:val="标题 1 Char1"/>
    <w:basedOn w:val="51"/>
    <w:qFormat/>
    <w:uiPriority w:val="0"/>
    <w:rPr>
      <w:rFonts w:eastAsia="宋体"/>
      <w:b/>
      <w:bCs/>
      <w:color w:val="000000"/>
      <w:kern w:val="44"/>
      <w:sz w:val="24"/>
      <w:szCs w:val="32"/>
      <w:lang w:val="en-US" w:eastAsia="zh-CN" w:bidi="ar-SA"/>
    </w:rPr>
  </w:style>
  <w:style w:type="character" w:customStyle="1" w:styleId="136">
    <w:name w:val="标题 2 Char1"/>
    <w:basedOn w:val="51"/>
    <w:qFormat/>
    <w:uiPriority w:val="0"/>
    <w:rPr>
      <w:rFonts w:eastAsia="宋体"/>
      <w:b/>
      <w:bCs/>
      <w:kern w:val="2"/>
      <w:sz w:val="24"/>
      <w:lang w:val="en-US" w:eastAsia="zh-CN" w:bidi="ar-SA"/>
    </w:rPr>
  </w:style>
  <w:style w:type="paragraph" w:customStyle="1" w:styleId="137">
    <w:name w:val="Char Char Char"/>
    <w:basedOn w:val="1"/>
    <w:qFormat/>
    <w:uiPriority w:val="0"/>
    <w:rPr>
      <w:sz w:val="24"/>
      <w:szCs w:val="24"/>
    </w:rPr>
  </w:style>
  <w:style w:type="paragraph" w:customStyle="1" w:styleId="138">
    <w:name w:val="Char1 Char Char Char"/>
    <w:basedOn w:val="1"/>
    <w:qFormat/>
    <w:uiPriority w:val="0"/>
    <w:rPr>
      <w:sz w:val="24"/>
      <w:szCs w:val="24"/>
    </w:rPr>
  </w:style>
  <w:style w:type="paragraph" w:customStyle="1" w:styleId="139">
    <w:name w:val="Char Char Char Char Char Char Char Char Char Char Char Char"/>
    <w:basedOn w:val="1"/>
    <w:qFormat/>
    <w:uiPriority w:val="0"/>
    <w:rPr>
      <w:szCs w:val="24"/>
    </w:rPr>
  </w:style>
  <w:style w:type="paragraph" w:customStyle="1" w:styleId="140">
    <w:name w:val="Char Char2 Char Char Char Char Char Char Char Char Char1"/>
    <w:basedOn w:val="1"/>
    <w:qFormat/>
    <w:uiPriority w:val="0"/>
    <w:rPr>
      <w:sz w:val="24"/>
      <w:szCs w:val="24"/>
    </w:rPr>
  </w:style>
  <w:style w:type="paragraph" w:customStyle="1" w:styleId="141">
    <w:name w:val="Char Char"/>
    <w:basedOn w:val="1"/>
    <w:qFormat/>
    <w:uiPriority w:val="0"/>
    <w:rPr>
      <w:sz w:val="24"/>
      <w:szCs w:val="24"/>
    </w:rPr>
  </w:style>
  <w:style w:type="paragraph" w:customStyle="1" w:styleId="142">
    <w:name w:val="表格"/>
    <w:basedOn w:val="1"/>
    <w:qFormat/>
    <w:uiPriority w:val="0"/>
    <w:pPr>
      <w:adjustRightInd w:val="0"/>
      <w:spacing w:before="60" w:after="60"/>
      <w:jc w:val="center"/>
      <w:textAlignment w:val="baseline"/>
    </w:pPr>
    <w:rPr>
      <w:rFonts w:ascii="宋体"/>
      <w:kern w:val="0"/>
      <w:sz w:val="24"/>
    </w:rPr>
  </w:style>
  <w:style w:type="paragraph" w:customStyle="1" w:styleId="143">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4">
    <w:name w:val="样式2"/>
    <w:basedOn w:val="1"/>
    <w:link w:val="168"/>
    <w:qFormat/>
    <w:uiPriority w:val="0"/>
    <w:pPr>
      <w:adjustRightInd w:val="0"/>
      <w:spacing w:line="410" w:lineRule="atLeast"/>
      <w:jc w:val="left"/>
      <w:textAlignment w:val="baseline"/>
    </w:pPr>
    <w:rPr>
      <w:kern w:val="0"/>
      <w:sz w:val="24"/>
    </w:rPr>
  </w:style>
  <w:style w:type="paragraph" w:customStyle="1" w:styleId="145">
    <w:name w:val="1-表内"/>
    <w:basedOn w:val="1"/>
    <w:qFormat/>
    <w:uiPriority w:val="0"/>
    <w:rPr>
      <w:rFonts w:ascii="宋体" w:hAnsi="宋体"/>
      <w:szCs w:val="21"/>
    </w:rPr>
  </w:style>
  <w:style w:type="paragraph" w:customStyle="1" w:styleId="146">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7">
    <w:name w:val="Char Char Char Char Char Char Char Char Char Char Char Char1 Char Char Char Char"/>
    <w:basedOn w:val="1"/>
    <w:qFormat/>
    <w:uiPriority w:val="0"/>
    <w:rPr>
      <w:szCs w:val="24"/>
    </w:rPr>
  </w:style>
  <w:style w:type="character" w:customStyle="1" w:styleId="148">
    <w:name w:val="章节标题 Char Char"/>
    <w:basedOn w:val="51"/>
    <w:qFormat/>
    <w:uiPriority w:val="0"/>
    <w:rPr>
      <w:kern w:val="44"/>
      <w:sz w:val="44"/>
      <w:szCs w:val="44"/>
    </w:rPr>
  </w:style>
  <w:style w:type="paragraph" w:customStyle="1" w:styleId="149">
    <w:name w:val="Char Char Char Char Char Char1"/>
    <w:basedOn w:val="1"/>
    <w:qFormat/>
    <w:uiPriority w:val="0"/>
    <w:rPr>
      <w:szCs w:val="24"/>
    </w:rPr>
  </w:style>
  <w:style w:type="paragraph" w:customStyle="1" w:styleId="150">
    <w:name w:val="报告正文"/>
    <w:basedOn w:val="1"/>
    <w:qFormat/>
    <w:uiPriority w:val="0"/>
    <w:pPr>
      <w:spacing w:line="400" w:lineRule="exact"/>
      <w:ind w:firstLine="482"/>
    </w:pPr>
    <w:rPr>
      <w:lang w:bidi="he-IL"/>
    </w:rPr>
  </w:style>
  <w:style w:type="paragraph" w:customStyle="1" w:styleId="151">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2">
    <w:name w:val="Char Char Char2"/>
    <w:basedOn w:val="1"/>
    <w:qFormat/>
    <w:uiPriority w:val="0"/>
    <w:rPr>
      <w:szCs w:val="24"/>
    </w:rPr>
  </w:style>
  <w:style w:type="paragraph" w:customStyle="1" w:styleId="153">
    <w:name w:val="默认段落字体 Para Char Char Char Char"/>
    <w:basedOn w:val="1"/>
    <w:qFormat/>
    <w:uiPriority w:val="0"/>
    <w:rPr>
      <w:szCs w:val="24"/>
    </w:rPr>
  </w:style>
  <w:style w:type="paragraph" w:customStyle="1" w:styleId="154">
    <w:name w:val="Char Char1"/>
    <w:basedOn w:val="1"/>
    <w:qFormat/>
    <w:uiPriority w:val="0"/>
    <w:pPr>
      <w:adjustRightInd w:val="0"/>
      <w:spacing w:line="360" w:lineRule="atLeast"/>
      <w:jc w:val="left"/>
      <w:textAlignment w:val="baseline"/>
    </w:pPr>
    <w:rPr>
      <w:kern w:val="0"/>
      <w:sz w:val="24"/>
    </w:rPr>
  </w:style>
  <w:style w:type="character" w:customStyle="1" w:styleId="155">
    <w:name w:val="章节标题 Char"/>
    <w:qFormat/>
    <w:uiPriority w:val="0"/>
    <w:rPr>
      <w:rFonts w:eastAsia="宋体"/>
      <w:b/>
      <w:bCs/>
      <w:kern w:val="44"/>
      <w:sz w:val="44"/>
      <w:szCs w:val="44"/>
      <w:lang w:val="en-US" w:eastAsia="zh-CN" w:bidi="ar-SA"/>
    </w:rPr>
  </w:style>
  <w:style w:type="character" w:customStyle="1" w:styleId="156">
    <w:name w:val="标题 2 Char"/>
    <w:qFormat/>
    <w:uiPriority w:val="0"/>
    <w:rPr>
      <w:rFonts w:ascii="Arial" w:hAnsi="Arial" w:eastAsia="黑体"/>
      <w:b/>
      <w:bCs/>
      <w:kern w:val="2"/>
      <w:sz w:val="32"/>
      <w:szCs w:val="32"/>
      <w:lang w:val="en-US" w:eastAsia="zh-CN" w:bidi="ar-SA"/>
    </w:rPr>
  </w:style>
  <w:style w:type="character" w:customStyle="1" w:styleId="157">
    <w:name w:val="标题 3 Char"/>
    <w:qFormat/>
    <w:uiPriority w:val="0"/>
    <w:rPr>
      <w:rFonts w:eastAsia="宋体"/>
      <w:b/>
      <w:bCs/>
      <w:kern w:val="2"/>
      <w:sz w:val="32"/>
      <w:szCs w:val="32"/>
      <w:lang w:val="en-US" w:eastAsia="zh-CN" w:bidi="ar-SA"/>
    </w:rPr>
  </w:style>
  <w:style w:type="character" w:customStyle="1" w:styleId="158">
    <w:name w:val="标题 4 Char"/>
    <w:qFormat/>
    <w:uiPriority w:val="0"/>
    <w:rPr>
      <w:rFonts w:ascii="Arial" w:hAnsi="Arial" w:eastAsia="黑体"/>
      <w:b/>
      <w:bCs/>
      <w:kern w:val="2"/>
      <w:sz w:val="28"/>
      <w:szCs w:val="28"/>
      <w:lang w:val="en-US" w:eastAsia="zh-CN" w:bidi="ar-SA"/>
    </w:rPr>
  </w:style>
  <w:style w:type="character" w:customStyle="1" w:styleId="159">
    <w:name w:val="正文缩进 Char1"/>
    <w:qFormat/>
    <w:uiPriority w:val="0"/>
    <w:rPr>
      <w:rFonts w:eastAsia="宋体"/>
      <w:kern w:val="2"/>
      <w:sz w:val="21"/>
      <w:szCs w:val="24"/>
      <w:lang w:val="en-US" w:eastAsia="zh-CN" w:bidi="ar-SA"/>
    </w:rPr>
  </w:style>
  <w:style w:type="character" w:customStyle="1" w:styleId="160">
    <w:name w:val="标题 5 Char"/>
    <w:qFormat/>
    <w:uiPriority w:val="0"/>
    <w:rPr>
      <w:rFonts w:ascii="小标宋" w:eastAsia="宋体"/>
      <w:kern w:val="2"/>
      <w:sz w:val="24"/>
      <w:szCs w:val="24"/>
      <w:lang w:val="en-US" w:eastAsia="zh-CN" w:bidi="he-IL"/>
    </w:rPr>
  </w:style>
  <w:style w:type="character" w:customStyle="1" w:styleId="161">
    <w:name w:val="标题 6 Char"/>
    <w:qFormat/>
    <w:uiPriority w:val="0"/>
    <w:rPr>
      <w:rFonts w:ascii="Arial" w:hAnsi="Arial" w:eastAsia="黑体"/>
      <w:kern w:val="2"/>
      <w:sz w:val="24"/>
      <w:szCs w:val="24"/>
      <w:lang w:val="en-US" w:eastAsia="zh-CN" w:bidi="he-IL"/>
    </w:rPr>
  </w:style>
  <w:style w:type="character" w:customStyle="1" w:styleId="162">
    <w:name w:val="标题 7 Char"/>
    <w:qFormat/>
    <w:uiPriority w:val="0"/>
    <w:rPr>
      <w:rFonts w:ascii="宋体" w:eastAsia="宋体"/>
      <w:kern w:val="2"/>
      <w:sz w:val="24"/>
      <w:szCs w:val="24"/>
      <w:lang w:val="en-US" w:eastAsia="zh-CN" w:bidi="he-IL"/>
    </w:rPr>
  </w:style>
  <w:style w:type="character" w:customStyle="1" w:styleId="163">
    <w:name w:val="标题 9 Char"/>
    <w:qFormat/>
    <w:uiPriority w:val="0"/>
    <w:rPr>
      <w:rFonts w:ascii="Arial" w:hAnsi="Arial" w:eastAsia="黑体"/>
      <w:kern w:val="2"/>
      <w:sz w:val="21"/>
      <w:szCs w:val="21"/>
      <w:lang w:val="en-US" w:eastAsia="zh-CN" w:bidi="ar-SA"/>
    </w:rPr>
  </w:style>
  <w:style w:type="character" w:customStyle="1" w:styleId="164">
    <w:name w:val="日期 Char"/>
    <w:qFormat/>
    <w:uiPriority w:val="0"/>
    <w:rPr>
      <w:rFonts w:eastAsia="宋体"/>
      <w:kern w:val="2"/>
      <w:sz w:val="21"/>
      <w:szCs w:val="24"/>
      <w:lang w:val="en-US" w:eastAsia="zh-CN" w:bidi="ar-SA"/>
    </w:rPr>
  </w:style>
  <w:style w:type="character" w:customStyle="1" w:styleId="165">
    <w:name w:val="页眉 Char"/>
    <w:qFormat/>
    <w:uiPriority w:val="0"/>
    <w:rPr>
      <w:rFonts w:eastAsia="宋体"/>
      <w:kern w:val="2"/>
      <w:sz w:val="18"/>
      <w:szCs w:val="18"/>
      <w:lang w:val="en-US" w:eastAsia="zh-CN" w:bidi="ar-SA"/>
    </w:rPr>
  </w:style>
  <w:style w:type="character" w:customStyle="1" w:styleId="166">
    <w:name w:val="文档结构图 Char"/>
    <w:qFormat/>
    <w:uiPriority w:val="0"/>
    <w:rPr>
      <w:rFonts w:eastAsia="宋体"/>
      <w:sz w:val="21"/>
      <w:szCs w:val="21"/>
      <w:lang w:val="zh-CN" w:eastAsia="zh-CN" w:bidi="ar-SA"/>
    </w:rPr>
  </w:style>
  <w:style w:type="character" w:customStyle="1" w:styleId="167">
    <w:name w:val="正文文本 Char"/>
    <w:qFormat/>
    <w:uiPriority w:val="0"/>
    <w:rPr>
      <w:rFonts w:eastAsia="宋体"/>
      <w:sz w:val="24"/>
      <w:lang w:val="zh-CN" w:eastAsia="zh-CN" w:bidi="ar-SA"/>
    </w:rPr>
  </w:style>
  <w:style w:type="character" w:customStyle="1" w:styleId="168">
    <w:name w:val="样式2 Char1"/>
    <w:link w:val="144"/>
    <w:qFormat/>
    <w:uiPriority w:val="0"/>
    <w:rPr>
      <w:sz w:val="24"/>
    </w:rPr>
  </w:style>
  <w:style w:type="character" w:customStyle="1" w:styleId="169">
    <w:name w:val="正文文本缩进 Char"/>
    <w:qFormat/>
    <w:uiPriority w:val="0"/>
    <w:rPr>
      <w:rFonts w:eastAsia="宋体"/>
      <w:kern w:val="2"/>
      <w:sz w:val="21"/>
      <w:szCs w:val="24"/>
      <w:lang w:val="en-US" w:eastAsia="zh-CN" w:bidi="ar-SA"/>
    </w:rPr>
  </w:style>
  <w:style w:type="paragraph" w:customStyle="1" w:styleId="170">
    <w:name w:val="样式"/>
    <w:link w:val="17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1">
    <w:name w:val="样式 Char"/>
    <w:link w:val="170"/>
    <w:qFormat/>
    <w:uiPriority w:val="0"/>
    <w:rPr>
      <w:rFonts w:ascii="宋体" w:hAnsi="宋体" w:cs="宋体"/>
      <w:sz w:val="24"/>
      <w:szCs w:val="24"/>
    </w:rPr>
  </w:style>
  <w:style w:type="character" w:customStyle="1" w:styleId="172">
    <w:name w:val="样式1 Char"/>
    <w:link w:val="129"/>
    <w:qFormat/>
    <w:uiPriority w:val="0"/>
    <w:rPr>
      <w:rFonts w:ascii="宋体"/>
      <w:sz w:val="24"/>
      <w:szCs w:val="24"/>
    </w:rPr>
  </w:style>
  <w:style w:type="character" w:customStyle="1" w:styleId="173">
    <w:name w:val="正文1 Char"/>
    <w:link w:val="128"/>
    <w:qFormat/>
    <w:uiPriority w:val="0"/>
    <w:rPr>
      <w:rFonts w:ascii="宋体"/>
      <w:sz w:val="24"/>
    </w:rPr>
  </w:style>
  <w:style w:type="character" w:customStyle="1" w:styleId="174">
    <w:name w:val="批注框文本 Char"/>
    <w:qFormat/>
    <w:uiPriority w:val="0"/>
    <w:rPr>
      <w:rFonts w:eastAsia="宋体"/>
      <w:kern w:val="2"/>
      <w:sz w:val="18"/>
      <w:szCs w:val="18"/>
      <w:lang w:val="en-US" w:eastAsia="zh-CN" w:bidi="ar-SA"/>
    </w:rPr>
  </w:style>
  <w:style w:type="character" w:customStyle="1" w:styleId="175">
    <w:name w:val="正文文本缩进 2 Char"/>
    <w:link w:val="176"/>
    <w:qFormat/>
    <w:uiPriority w:val="0"/>
    <w:rPr>
      <w:sz w:val="24"/>
    </w:rPr>
  </w:style>
  <w:style w:type="paragraph" w:customStyle="1" w:styleId="176">
    <w:name w:val="正文文本缩进 21"/>
    <w:basedOn w:val="1"/>
    <w:link w:val="175"/>
    <w:qFormat/>
    <w:uiPriority w:val="0"/>
    <w:pPr>
      <w:ind w:firstLine="840"/>
    </w:pPr>
    <w:rPr>
      <w:kern w:val="0"/>
      <w:sz w:val="24"/>
    </w:rPr>
  </w:style>
  <w:style w:type="character" w:customStyle="1" w:styleId="177">
    <w:name w:val="标书正文 Char Char"/>
    <w:link w:val="178"/>
    <w:qFormat/>
    <w:uiPriority w:val="0"/>
    <w:rPr>
      <w:kern w:val="2"/>
      <w:sz w:val="24"/>
      <w:szCs w:val="24"/>
    </w:rPr>
  </w:style>
  <w:style w:type="paragraph" w:customStyle="1" w:styleId="178">
    <w:name w:val="标书正文"/>
    <w:basedOn w:val="1"/>
    <w:link w:val="177"/>
    <w:qFormat/>
    <w:uiPriority w:val="0"/>
    <w:pPr>
      <w:spacing w:line="360" w:lineRule="auto"/>
      <w:ind w:firstLine="200" w:firstLineChars="200"/>
      <w:jc w:val="left"/>
    </w:pPr>
    <w:rPr>
      <w:sz w:val="24"/>
      <w:szCs w:val="24"/>
    </w:rPr>
  </w:style>
  <w:style w:type="character" w:customStyle="1" w:styleId="179">
    <w:name w:val="二级标题 Char Char"/>
    <w:link w:val="180"/>
    <w:qFormat/>
    <w:uiPriority w:val="0"/>
    <w:rPr>
      <w:rFonts w:ascii="宋体"/>
      <w:bCs/>
      <w:color w:val="000000"/>
      <w:sz w:val="24"/>
      <w:szCs w:val="24"/>
    </w:rPr>
  </w:style>
  <w:style w:type="paragraph" w:customStyle="1" w:styleId="180">
    <w:name w:val="二级标题"/>
    <w:basedOn w:val="1"/>
    <w:link w:val="179"/>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1">
    <w:name w:val="样式 标题 1b1章节标题章标题 1-*+h11st levelSection Headl1 + 四号 Char Char"/>
    <w:link w:val="182"/>
    <w:qFormat/>
    <w:uiPriority w:val="0"/>
    <w:rPr>
      <w:b/>
      <w:bCs/>
      <w:color w:val="000000"/>
      <w:kern w:val="44"/>
      <w:sz w:val="28"/>
      <w:szCs w:val="28"/>
    </w:rPr>
  </w:style>
  <w:style w:type="paragraph" w:customStyle="1" w:styleId="182">
    <w:name w:val="样式 标题 1b1章节标题章标题 1-*+h11st levelSection Headl1 + 四号"/>
    <w:basedOn w:val="183"/>
    <w:link w:val="181"/>
    <w:qFormat/>
    <w:uiPriority w:val="0"/>
    <w:pPr>
      <w:tabs>
        <w:tab w:val="left" w:leader="dot" w:pos="0"/>
        <w:tab w:val="left" w:pos="900"/>
      </w:tabs>
      <w:spacing w:before="0"/>
      <w:ind w:left="0" w:firstLine="0"/>
    </w:pPr>
    <w:rPr>
      <w:bCs/>
      <w:color w:val="000000"/>
      <w:szCs w:val="28"/>
    </w:rPr>
  </w:style>
  <w:style w:type="paragraph" w:customStyle="1" w:styleId="183">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4">
    <w:name w:val="YJB1 Char Char"/>
    <w:link w:val="185"/>
    <w:qFormat/>
    <w:uiPriority w:val="0"/>
    <w:rPr>
      <w:rFonts w:ascii="Arial" w:hAnsi="Arial"/>
      <w:kern w:val="2"/>
      <w:sz w:val="24"/>
      <w:szCs w:val="24"/>
    </w:rPr>
  </w:style>
  <w:style w:type="paragraph" w:customStyle="1" w:styleId="185">
    <w:name w:val="YJB1"/>
    <w:basedOn w:val="1"/>
    <w:link w:val="184"/>
    <w:qFormat/>
    <w:uiPriority w:val="0"/>
    <w:pPr>
      <w:spacing w:line="360" w:lineRule="auto"/>
      <w:ind w:left="450" w:leftChars="450"/>
    </w:pPr>
    <w:rPr>
      <w:rFonts w:ascii="Arial" w:hAnsi="Arial"/>
      <w:sz w:val="24"/>
      <w:szCs w:val="24"/>
    </w:rPr>
  </w:style>
  <w:style w:type="character" w:customStyle="1" w:styleId="186">
    <w:name w:val="YJB2 Char Char"/>
    <w:link w:val="187"/>
    <w:qFormat/>
    <w:uiPriority w:val="0"/>
    <w:rPr>
      <w:rFonts w:ascii="Arial" w:hAnsi="Arial"/>
      <w:kern w:val="2"/>
      <w:sz w:val="24"/>
      <w:szCs w:val="24"/>
    </w:rPr>
  </w:style>
  <w:style w:type="paragraph" w:customStyle="1" w:styleId="187">
    <w:name w:val="YJB2"/>
    <w:basedOn w:val="1"/>
    <w:link w:val="186"/>
    <w:qFormat/>
    <w:uiPriority w:val="0"/>
    <w:pPr>
      <w:spacing w:line="360" w:lineRule="auto"/>
      <w:ind w:left="450" w:hanging="450" w:hangingChars="450"/>
    </w:pPr>
    <w:rPr>
      <w:rFonts w:ascii="Arial" w:hAnsi="Arial"/>
      <w:sz w:val="24"/>
      <w:szCs w:val="24"/>
    </w:rPr>
  </w:style>
  <w:style w:type="character" w:customStyle="1" w:styleId="188">
    <w:name w:val="样式 标题 1章节标题 + 三号 Char Char"/>
    <w:link w:val="189"/>
    <w:qFormat/>
    <w:uiPriority w:val="0"/>
    <w:rPr>
      <w:b/>
      <w:bCs/>
      <w:kern w:val="44"/>
      <w:sz w:val="32"/>
      <w:szCs w:val="44"/>
    </w:rPr>
  </w:style>
  <w:style w:type="paragraph" w:customStyle="1" w:styleId="189">
    <w:name w:val="样式 标题 1章节标题 + 三号"/>
    <w:basedOn w:val="2"/>
    <w:link w:val="188"/>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90">
    <w:name w:val="正文文本缩进 22"/>
    <w:basedOn w:val="1"/>
    <w:qFormat/>
    <w:uiPriority w:val="0"/>
    <w:pPr>
      <w:ind w:firstLine="840"/>
    </w:pPr>
    <w:rPr>
      <w:kern w:val="0"/>
      <w:sz w:val="24"/>
      <w:lang w:val="zh-CN"/>
    </w:rPr>
  </w:style>
  <w:style w:type="paragraph" w:customStyle="1" w:styleId="191">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2">
    <w:name w:val="正文文本 3 字符"/>
    <w:basedOn w:val="51"/>
    <w:link w:val="19"/>
    <w:qFormat/>
    <w:uiPriority w:val="0"/>
    <w:rPr>
      <w:kern w:val="2"/>
      <w:sz w:val="16"/>
      <w:szCs w:val="16"/>
    </w:rPr>
  </w:style>
  <w:style w:type="character" w:customStyle="1" w:styleId="193">
    <w:name w:val="信息标题 字符"/>
    <w:basedOn w:val="51"/>
    <w:link w:val="41"/>
    <w:qFormat/>
    <w:uiPriority w:val="0"/>
    <w:rPr>
      <w:rFonts w:ascii="Arial" w:hAnsi="Arial"/>
      <w:spacing w:val="-5"/>
    </w:rPr>
  </w:style>
  <w:style w:type="paragraph" w:customStyle="1" w:styleId="194">
    <w:name w:val="日期2"/>
    <w:basedOn w:val="1"/>
    <w:next w:val="1"/>
    <w:qFormat/>
    <w:uiPriority w:val="0"/>
    <w:pPr>
      <w:adjustRightInd w:val="0"/>
      <w:spacing w:line="312" w:lineRule="atLeast"/>
      <w:textAlignment w:val="baseline"/>
    </w:pPr>
    <w:rPr>
      <w:kern w:val="0"/>
      <w:sz w:val="28"/>
      <w:szCs w:val="28"/>
    </w:rPr>
  </w:style>
  <w:style w:type="paragraph" w:customStyle="1" w:styleId="195">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6">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7">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1">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2">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3">
    <w:name w:val="Char2"/>
    <w:basedOn w:val="1"/>
    <w:qFormat/>
    <w:uiPriority w:val="0"/>
    <w:pPr>
      <w:adjustRightInd w:val="0"/>
      <w:spacing w:line="360" w:lineRule="atLeast"/>
    </w:pPr>
    <w:rPr>
      <w:szCs w:val="24"/>
    </w:rPr>
  </w:style>
  <w:style w:type="paragraph" w:customStyle="1" w:styleId="214">
    <w:name w:val="列出段落"/>
    <w:basedOn w:val="1"/>
    <w:qFormat/>
    <w:uiPriority w:val="0"/>
    <w:pPr>
      <w:ind w:firstLine="420" w:firstLineChars="200"/>
    </w:pPr>
    <w:rPr>
      <w:rFonts w:ascii="Calibri" w:hAnsi="Calibri"/>
      <w:szCs w:val="22"/>
    </w:rPr>
  </w:style>
  <w:style w:type="paragraph" w:customStyle="1" w:styleId="215">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6">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7">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0">
    <w:name w:val="Char Char Char Char Char Char Char1"/>
    <w:basedOn w:val="1"/>
    <w:qFormat/>
    <w:uiPriority w:val="0"/>
    <w:rPr>
      <w:szCs w:val="24"/>
    </w:rPr>
  </w:style>
  <w:style w:type="paragraph" w:customStyle="1" w:styleId="221">
    <w:name w:val="Char Char Char Char Char Char Char Char Char1"/>
    <w:basedOn w:val="1"/>
    <w:uiPriority w:val="0"/>
    <w:rPr>
      <w:szCs w:val="24"/>
    </w:rPr>
  </w:style>
  <w:style w:type="paragraph" w:customStyle="1" w:styleId="222">
    <w:name w:val="纯文本3"/>
    <w:basedOn w:val="1"/>
    <w:qFormat/>
    <w:uiPriority w:val="0"/>
    <w:pPr>
      <w:adjustRightInd w:val="0"/>
      <w:textAlignment w:val="baseline"/>
    </w:pPr>
    <w:rPr>
      <w:rFonts w:ascii="宋体" w:hAnsi="Courier New"/>
    </w:rPr>
  </w:style>
  <w:style w:type="paragraph" w:customStyle="1" w:styleId="223">
    <w:name w:val="样式20"/>
    <w:basedOn w:val="44"/>
    <w:next w:val="44"/>
    <w:qFormat/>
    <w:uiPriority w:val="0"/>
    <w:pPr>
      <w:spacing w:line="360" w:lineRule="auto"/>
      <w:jc w:val="both"/>
      <w:textAlignment w:val="auto"/>
    </w:pPr>
  </w:style>
  <w:style w:type="paragraph" w:customStyle="1" w:styleId="224">
    <w:name w:val="Char Char Char Char Char Char Char Char Char Char Char Char Char1"/>
    <w:basedOn w:val="1"/>
    <w:qFormat/>
    <w:uiPriority w:val="0"/>
    <w:rPr>
      <w:szCs w:val="24"/>
    </w:rPr>
  </w:style>
  <w:style w:type="paragraph" w:customStyle="1" w:styleId="225">
    <w:name w:val="Char1 Char Char Char1"/>
    <w:basedOn w:val="1"/>
    <w:semiHidden/>
    <w:qFormat/>
    <w:uiPriority w:val="0"/>
    <w:pPr>
      <w:snapToGrid w:val="0"/>
      <w:spacing w:line="440" w:lineRule="atLeast"/>
    </w:pPr>
    <w:rPr>
      <w:rFonts w:ascii="宋体"/>
      <w:sz w:val="24"/>
      <w:szCs w:val="24"/>
    </w:rPr>
  </w:style>
  <w:style w:type="paragraph" w:customStyle="1" w:styleId="226">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7">
    <w:name w:val="WPSOffice手动目录 1"/>
    <w:autoRedefine/>
    <w:qFormat/>
    <w:uiPriority w:val="0"/>
    <w:rPr>
      <w:rFonts w:asciiTheme="minorHAnsi" w:hAnsiTheme="minorHAnsi" w:eastAsiaTheme="minorEastAsia" w:cstheme="minorBidi"/>
      <w:lang w:val="en-US" w:eastAsia="zh-CN" w:bidi="ar-SA"/>
    </w:rPr>
  </w:style>
  <w:style w:type="character" w:customStyle="1" w:styleId="228">
    <w:name w:val="正文文本首行缩进 2 字符"/>
    <w:basedOn w:val="82"/>
    <w:link w:val="48"/>
    <w:semiHidden/>
    <w:qFormat/>
    <w:uiPriority w:val="99"/>
    <w:rPr>
      <w:kern w:val="2"/>
      <w:sz w:val="21"/>
      <w:szCs w:val="24"/>
    </w:rPr>
  </w:style>
  <w:style w:type="paragraph" w:customStyle="1" w:styleId="229">
    <w:name w:val="表格文字"/>
    <w:basedOn w:val="14"/>
    <w:next w:val="1"/>
    <w:qFormat/>
    <w:uiPriority w:val="0"/>
    <w:pPr>
      <w:widowControl/>
      <w:topLinePunct/>
      <w:spacing w:line="312" w:lineRule="atLeast"/>
      <w:ind w:firstLine="0"/>
      <w:jc w:val="center"/>
      <w:textAlignment w:val="baseline"/>
    </w:pPr>
    <w:rPr>
      <w:rFonts w:asciiTheme="minorHAnsi" w:hAnsiTheme="minorHAnsi" w:eastAsiaTheme="minorEastAsia" w:cstheme="minorBidi"/>
      <w:kern w:val="0"/>
      <w:szCs w:val="20"/>
    </w:rPr>
  </w:style>
  <w:style w:type="paragraph" w:customStyle="1" w:styleId="230">
    <w:name w:val="*正文_0"/>
    <w:basedOn w:val="1"/>
    <w:next w:val="1"/>
    <w:qFormat/>
    <w:uiPriority w:val="0"/>
    <w:pPr>
      <w:widowControl/>
      <w:ind w:firstLine="482"/>
    </w:pPr>
    <w:rPr>
      <w:rFonts w:ascii="微软雅黑" w:hAnsi="微软雅黑" w:eastAsia="微软雅黑"/>
      <w:kern w:val="0"/>
    </w:rPr>
  </w:style>
  <w:style w:type="paragraph" w:styleId="231">
    <w:name w:val="No Spacing"/>
    <w:qFormat/>
    <w:uiPriority w:val="1"/>
    <w:pPr>
      <w:widowControl w:val="0"/>
    </w:pPr>
    <w:rPr>
      <w:rFonts w:ascii="等线" w:hAnsi="等线" w:eastAsia="华文宋体" w:cs="Times New Roman"/>
      <w:kern w:val="2"/>
      <w:sz w:val="24"/>
      <w:szCs w:val="22"/>
      <w:lang w:val="en-US" w:eastAsia="zh-CN" w:bidi="ar-SA"/>
    </w:rPr>
  </w:style>
  <w:style w:type="character" w:customStyle="1" w:styleId="232">
    <w:name w:val="NormalCharacter"/>
    <w:qFormat/>
    <w:uiPriority w:val="0"/>
  </w:style>
  <w:style w:type="paragraph" w:customStyle="1" w:styleId="233">
    <w:name w:val="四级标题"/>
    <w:basedOn w:val="28"/>
    <w:qFormat/>
    <w:uiPriority w:val="0"/>
    <w:pPr>
      <w:spacing w:line="360" w:lineRule="auto"/>
    </w:pPr>
    <w:rPr>
      <w:rFonts w:eastAsia="黑体"/>
      <w:snapToGrid w:val="0"/>
      <w:sz w:val="24"/>
      <w:lang w:eastAsia="en-US"/>
    </w:rPr>
  </w:style>
  <w:style w:type="table" w:customStyle="1" w:styleId="2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5605-1265-4618-B2A2-632B0CBA8B74}">
  <ds:schemaRefs/>
</ds:datastoreItem>
</file>

<file path=docProps/app.xml><?xml version="1.0" encoding="utf-8"?>
<Properties xmlns="http://schemas.openxmlformats.org/officeDocument/2006/extended-properties" xmlns:vt="http://schemas.openxmlformats.org/officeDocument/2006/docPropsVTypes">
  <Template>Normal</Template>
  <Pages>38</Pages>
  <Words>7325</Words>
  <Characters>7842</Characters>
  <Lines>111</Lines>
  <Paragraphs>31</Paragraphs>
  <TotalTime>11</TotalTime>
  <ScaleCrop>false</ScaleCrop>
  <LinksUpToDate>false</LinksUpToDate>
  <CharactersWithSpaces>8697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2025-04-24T02:27:00Z</cp:lastPrinted>
  <dcterms:modified xsi:type="dcterms:W3CDTF">2026-01-26T02:58:12Z</dcterms:modified>
  <dc:title>一、标书制作要求：</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EBCC211060C54FE1B8FD3828A8AD8E66_12</vt:lpwstr>
  </property>
</Properties>
</file>